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1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Style18"/>
        <w:jc w:val="center"/>
        <w:rPr/>
      </w:pPr>
      <w:r>
        <w:rPr>
          <w:rFonts w:cs="Times New Roman" w:ascii="Times New Roman" w:hAnsi="Times New Roman"/>
          <w:b/>
          <w:sz w:val="22"/>
          <w:szCs w:val="22"/>
          <w:highlight w:val="white"/>
        </w:rPr>
        <w:t xml:space="preserve">Договор № _____/Т - </w:t>
      </w:r>
      <w:r>
        <w:rPr>
          <w:rFonts w:cs="Times New Roman" w:ascii="Times New Roman" w:hAnsi="Times New Roman"/>
          <w:b/>
          <w:sz w:val="22"/>
          <w:szCs w:val="22"/>
          <w:highlight w:val="white"/>
          <w:lang w:val="en-US"/>
        </w:rPr>
        <w:t>GSM</w:t>
      </w:r>
    </w:p>
    <w:p>
      <w:pPr>
        <w:pStyle w:val="Style18"/>
        <w:jc w:val="center"/>
        <w:rPr>
          <w:rFonts w:ascii="Times New Roman" w:hAnsi="Times New Roman" w:cs="Times New Roman"/>
          <w:b/>
          <w:sz w:val="22"/>
          <w:szCs w:val="22"/>
          <w:highlight w:val="white"/>
        </w:rPr>
      </w:pPr>
      <w:r>
        <w:rPr>
          <w:rFonts w:cs="Times New Roman" w:ascii="Times New Roman" w:hAnsi="Times New Roman"/>
          <w:b/>
          <w:sz w:val="22"/>
          <w:szCs w:val="22"/>
          <w:highlight w:val="white"/>
        </w:rPr>
        <w:t xml:space="preserve">Возмездного оказания услуг по охране имущества путем оперативного реагирования на сообщения о срабатывании средств тревожной сигнализации </w:t>
      </w:r>
    </w:p>
    <w:p>
      <w:pPr>
        <w:pStyle w:val="Style18"/>
        <w:jc w:val="center"/>
        <w:rPr>
          <w:rFonts w:ascii="Times New Roman" w:hAnsi="Times New Roman" w:cs="Times New Roman"/>
          <w:b/>
          <w:sz w:val="22"/>
          <w:szCs w:val="22"/>
          <w:highlight w:val="white"/>
        </w:rPr>
      </w:pPr>
      <w:r>
        <w:rPr>
          <w:rFonts w:cs="Times New Roman" w:ascii="Times New Roman" w:hAnsi="Times New Roman"/>
          <w:b/>
          <w:sz w:val="22"/>
          <w:szCs w:val="22"/>
          <w:highlight w:val="white"/>
        </w:rPr>
      </w:r>
    </w:p>
    <w:p>
      <w:pPr>
        <w:pStyle w:val="BodyText"/>
        <w:jc w:val="center"/>
        <w:rPr>
          <w:sz w:val="22"/>
          <w:szCs w:val="22"/>
          <w:highlight w:val="white"/>
        </w:rPr>
      </w:pPr>
      <w:r>
        <w:rPr>
          <w:sz w:val="22"/>
          <w:szCs w:val="22"/>
          <w:highlight w:val="white"/>
        </w:rPr>
        <w:t>_____________________                                                                                         «01» января  20     г.</w:t>
      </w:r>
    </w:p>
    <w:p>
      <w:pPr>
        <w:pStyle w:val="Normal"/>
        <w:rPr>
          <w:sz w:val="22"/>
          <w:szCs w:val="22"/>
          <w:shd w:fill="FFFFFF" w:val="clear"/>
        </w:rPr>
      </w:pPr>
      <w:r>
        <w:rPr>
          <w:sz w:val="22"/>
          <w:szCs w:val="22"/>
          <w:shd w:fill="FFFFFF" w:val="clear"/>
        </w:rPr>
      </w:r>
    </w:p>
    <w:p>
      <w:pPr>
        <w:pStyle w:val="Normal"/>
        <w:ind w:firstLine="708" w:end="0"/>
        <w:jc w:val="both"/>
        <w:rPr/>
      </w:pPr>
      <w:r>
        <w:rPr>
          <w:sz w:val="22"/>
          <w:szCs w:val="22"/>
          <w:shd w:fill="FFFFFF" w:val="clear"/>
        </w:rPr>
        <w:t xml:space="preserve">  </w:t>
      </w:r>
      <w:r>
        <w:rPr>
          <w:sz w:val="22"/>
          <w:szCs w:val="22"/>
          <w:highlight w:val="white"/>
          <w:shd w:fill="FFFFFF" w:val="clear"/>
        </w:rPr>
        <w:t xml:space="preserve"> </w:t>
      </w:r>
      <w:r>
        <w:rPr>
          <w:b w:val="false"/>
          <w:bCs w:val="false"/>
          <w:sz w:val="21"/>
          <w:szCs w:val="22"/>
          <w:highlight w:val="white"/>
          <w:shd w:fill="FFFFFF" w:val="clear"/>
        </w:rPr>
        <w:t xml:space="preserve">Федеральное государственное казенное учреждение «Отдел вневедомственной охраны войск национальной гвардии Российской Федерации по Астраханской области», именуемое в дальнейшем </w:t>
      </w:r>
      <w:r>
        <w:rPr>
          <w:b/>
          <w:bCs/>
          <w:sz w:val="21"/>
          <w:szCs w:val="22"/>
          <w:highlight w:val="white"/>
          <w:shd w:fill="FFFFFF" w:val="clear"/>
        </w:rPr>
        <w:t>«ОХРАНА»,</w:t>
      </w:r>
      <w:r>
        <w:rPr>
          <w:b w:val="false"/>
          <w:bCs w:val="false"/>
          <w:sz w:val="21"/>
          <w:szCs w:val="22"/>
          <w:highlight w:val="white"/>
          <w:shd w:fill="FFFFFF" w:val="clear"/>
        </w:rPr>
        <w:t xml:space="preserve"> в лице начальника Отделения вневедомственной охраны по ____________________ району – филиала федерального</w:t>
      </w:r>
      <w:r>
        <w:rPr>
          <w:sz w:val="21"/>
          <w:szCs w:val="22"/>
          <w:highlight w:val="white"/>
          <w:shd w:fill="FFFFFF" w:val="clear"/>
        </w:rPr>
        <w:t xml:space="preserve"> государственного казенного учреждения «Отдел вневедомственной охраны войск национальной гвардии Российской Федерации по Астраханской области» _________________________, действующего на основании Положения о филиале и Доверенности № №442/107 от 01 декабря 2023 года, с одной стороны,  и ________________________________</w:t>
      </w:r>
      <w:r>
        <w:rPr>
          <w:b/>
          <w:sz w:val="21"/>
          <w:szCs w:val="22"/>
          <w:highlight w:val="white"/>
          <w:shd w:fill="FFFFFF" w:val="clear"/>
        </w:rPr>
        <w:t>,</w:t>
      </w:r>
      <w:r>
        <w:rPr>
          <w:sz w:val="21"/>
          <w:szCs w:val="22"/>
          <w:highlight w:val="white"/>
          <w:shd w:fill="FFFFFF" w:val="clear"/>
        </w:rPr>
        <w:t xml:space="preserve"> именуемое в дальнейшем</w:t>
      </w:r>
      <w:r>
        <w:rPr>
          <w:b/>
          <w:sz w:val="21"/>
          <w:szCs w:val="22"/>
          <w:highlight w:val="white"/>
          <w:shd w:fill="FFFFFF" w:val="clear"/>
        </w:rPr>
        <w:t xml:space="preserve"> «КЛИЕНТ», </w:t>
      </w:r>
      <w:r>
        <w:rPr>
          <w:sz w:val="21"/>
          <w:szCs w:val="22"/>
          <w:highlight w:val="white"/>
          <w:shd w:fill="FFFFFF" w:val="clear"/>
        </w:rPr>
        <w:t>в лице генерального директора ____________________________ ,</w:t>
      </w:r>
      <w:r>
        <w:rPr>
          <w:b/>
          <w:sz w:val="21"/>
          <w:szCs w:val="22"/>
          <w:highlight w:val="white"/>
          <w:shd w:fill="FFFFFF" w:val="clear"/>
        </w:rPr>
        <w:t xml:space="preserve"> </w:t>
      </w:r>
      <w:r>
        <w:rPr>
          <w:sz w:val="21"/>
          <w:szCs w:val="22"/>
          <w:highlight w:val="white"/>
          <w:shd w:fill="FFFFFF" w:val="clear"/>
        </w:rPr>
        <w:t>действующего на основании ________________, с другой стороны, вместе именуемые СТОРОНЫ, по отдельности СТОРОНА, заключили настоящий договор о нижеследующем:</w:t>
      </w:r>
    </w:p>
    <w:p>
      <w:pPr>
        <w:pStyle w:val="Normal"/>
        <w:ind w:firstLine="708" w:end="0"/>
        <w:jc w:val="center"/>
        <w:rPr>
          <w:b/>
          <w:sz w:val="22"/>
          <w:szCs w:val="22"/>
          <w:shd w:fill="FFFFFF" w:val="clear"/>
        </w:rPr>
      </w:pPr>
      <w:r>
        <w:rPr>
          <w:b/>
          <w:sz w:val="22"/>
          <w:szCs w:val="22"/>
          <w:shd w:fill="FFFFFF" w:val="clear"/>
        </w:rPr>
        <w:t>1. Предмет договора</w:t>
      </w:r>
    </w:p>
    <w:p>
      <w:pPr>
        <w:pStyle w:val="BodyTextIndent"/>
        <w:spacing w:before="0" w:after="0"/>
        <w:ind w:firstLine="540" w:start="0" w:end="0"/>
        <w:jc w:val="both"/>
        <w:rPr/>
      </w:pPr>
      <w:r>
        <w:rPr>
          <w:sz w:val="22"/>
          <w:szCs w:val="22"/>
          <w:shd w:fill="FFFFFF" w:val="clear"/>
        </w:rPr>
        <w:t xml:space="preserve">1.1. </w:t>
      </w:r>
      <w:r>
        <w:rPr>
          <w:color w:val="000000"/>
          <w:sz w:val="22"/>
          <w:szCs w:val="22"/>
          <w:shd w:fill="FFFFFF" w:val="clear"/>
        </w:rPr>
        <w:t xml:space="preserve"> . </w:t>
      </w:r>
      <w:r>
        <w:rPr>
          <w:b/>
          <w:color w:val="000000"/>
          <w:sz w:val="22"/>
          <w:szCs w:val="22"/>
          <w:shd w:fill="FFFFFF" w:val="clear"/>
        </w:rPr>
        <w:t>ОХРАНА</w:t>
      </w:r>
      <w:r>
        <w:rPr>
          <w:color w:val="000000"/>
          <w:sz w:val="22"/>
          <w:szCs w:val="22"/>
          <w:shd w:fill="FFFFFF" w:val="clear"/>
        </w:rPr>
        <w:t xml:space="preserve"> обязуется осуществлять возмездное оказания услуг по охрану имущества путем оперативного реагирования на сообщения о срабатывании средств тревожной сигнализации (далее – СТС) установленных на объектах </w:t>
      </w:r>
      <w:r>
        <w:rPr>
          <w:b/>
          <w:color w:val="000000"/>
          <w:sz w:val="22"/>
          <w:szCs w:val="22"/>
          <w:shd w:fill="FFFFFF" w:val="clear"/>
        </w:rPr>
        <w:t>КЛИЕНТА</w:t>
      </w:r>
      <w:r>
        <w:rPr>
          <w:color w:val="000000"/>
          <w:sz w:val="22"/>
          <w:szCs w:val="22"/>
          <w:shd w:fill="FFFFFF" w:val="clear"/>
        </w:rPr>
        <w:t xml:space="preserve">, указанных в прилагаемом к договору Приложении № 1, и обеспечивать оперативное реагирование нарядами ВНГ России на сигналы «Тревога», поступившие с данных объектов по беспроводному каналу </w:t>
      </w:r>
      <w:r>
        <w:rPr>
          <w:color w:val="000000"/>
          <w:sz w:val="22"/>
          <w:szCs w:val="22"/>
          <w:shd w:fill="FFFFFF" w:val="clear"/>
          <w:lang w:val="en-US"/>
        </w:rPr>
        <w:t>GSM</w:t>
      </w:r>
      <w:r>
        <w:rPr>
          <w:color w:val="000000"/>
          <w:sz w:val="22"/>
          <w:szCs w:val="22"/>
          <w:shd w:fill="FFFFFF" w:val="clear"/>
        </w:rPr>
        <w:t>/</w:t>
      </w:r>
      <w:r>
        <w:rPr>
          <w:color w:val="000000"/>
          <w:sz w:val="22"/>
          <w:szCs w:val="22"/>
          <w:shd w:fill="FFFFFF" w:val="clear"/>
          <w:lang w:val="en-US"/>
        </w:rPr>
        <w:t>GPRS</w:t>
      </w:r>
      <w:r>
        <w:rPr>
          <w:color w:val="000000"/>
          <w:sz w:val="22"/>
          <w:szCs w:val="22"/>
          <w:shd w:fill="FFFFFF" w:val="clear"/>
        </w:rPr>
        <w:t>.</w:t>
      </w:r>
    </w:p>
    <w:p>
      <w:pPr>
        <w:pStyle w:val="BodyTextIndent"/>
        <w:spacing w:before="0" w:after="0"/>
        <w:ind w:firstLine="540" w:start="0" w:end="0"/>
        <w:jc w:val="both"/>
        <w:rPr/>
      </w:pPr>
      <w:r>
        <w:rPr>
          <w:sz w:val="22"/>
          <w:szCs w:val="22"/>
          <w:highlight w:val="white"/>
        </w:rPr>
        <w:t xml:space="preserve">1.2. </w:t>
      </w:r>
      <w:r>
        <w:rPr>
          <w:b/>
          <w:sz w:val="22"/>
          <w:szCs w:val="22"/>
          <w:highlight w:val="white"/>
        </w:rPr>
        <w:t>КЛИЕНТ</w:t>
      </w:r>
      <w:r>
        <w:rPr>
          <w:sz w:val="22"/>
          <w:szCs w:val="22"/>
          <w:highlight w:val="white"/>
        </w:rPr>
        <w:t xml:space="preserve"> обязуется своевременно производить оплату за услуги </w:t>
      </w:r>
      <w:r>
        <w:rPr>
          <w:b/>
          <w:sz w:val="22"/>
          <w:szCs w:val="22"/>
          <w:highlight w:val="white"/>
        </w:rPr>
        <w:t>ОХРАНЫ</w:t>
      </w:r>
      <w:r>
        <w:rPr>
          <w:sz w:val="22"/>
          <w:szCs w:val="22"/>
          <w:highlight w:val="white"/>
        </w:rPr>
        <w:t>.</w:t>
      </w:r>
    </w:p>
    <w:p>
      <w:pPr>
        <w:pStyle w:val="33"/>
        <w:spacing w:before="0" w:after="0"/>
        <w:ind w:start="0" w:end="0"/>
        <w:jc w:val="both"/>
        <w:rPr/>
      </w:pPr>
      <w:r>
        <w:rPr>
          <w:sz w:val="22"/>
          <w:szCs w:val="22"/>
          <w:highlight w:val="white"/>
        </w:rPr>
        <w:t xml:space="preserve">          </w:t>
      </w:r>
      <w:r>
        <w:rPr>
          <w:sz w:val="22"/>
          <w:szCs w:val="22"/>
          <w:highlight w:val="white"/>
        </w:rPr>
        <w:t>1.3. Установка, техническое эксплуатационное обслуживание средств сигнализации на объекте</w:t>
      </w:r>
      <w:r>
        <w:rPr>
          <w:color w:val="FF0000"/>
          <w:sz w:val="22"/>
          <w:szCs w:val="22"/>
          <w:highlight w:val="white"/>
        </w:rPr>
        <w:t xml:space="preserve">, </w:t>
      </w:r>
      <w:r>
        <w:rPr>
          <w:sz w:val="22"/>
          <w:szCs w:val="22"/>
          <w:highlight w:val="white"/>
        </w:rPr>
        <w:t xml:space="preserve">производится обслуживающей организацией по отдельному договору с </w:t>
      </w:r>
      <w:r>
        <w:rPr>
          <w:b/>
          <w:sz w:val="22"/>
          <w:szCs w:val="22"/>
          <w:highlight w:val="white"/>
        </w:rPr>
        <w:t>КЛИЕНТОМ</w:t>
      </w:r>
      <w:r>
        <w:rPr>
          <w:sz w:val="22"/>
          <w:szCs w:val="22"/>
          <w:highlight w:val="white"/>
        </w:rPr>
        <w:t>. Ответственность за исправность технических средств охр</w:t>
      </w:r>
      <w:r>
        <w:rPr>
          <w:sz w:val="22"/>
          <w:szCs w:val="22"/>
        </w:rPr>
        <w:t>анной сигнализации, установленных на объекте, несет обслуживающая организация в соответствии с договором на техническое обслуживание.</w:t>
      </w:r>
    </w:p>
    <w:p>
      <w:pPr>
        <w:pStyle w:val="33"/>
        <w:spacing w:before="0" w:after="0"/>
        <w:ind w:start="0" w:end="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2. Общие положения</w:t>
      </w:r>
    </w:p>
    <w:p>
      <w:pPr>
        <w:pStyle w:val="BodyTextIndent"/>
        <w:spacing w:before="0" w:after="0"/>
        <w:ind w:firstLine="540" w:start="0" w:end="0"/>
        <w:jc w:val="both"/>
        <w:rPr/>
      </w:pPr>
      <w:r>
        <w:rPr>
          <w:sz w:val="22"/>
          <w:szCs w:val="22"/>
        </w:rPr>
        <w:t>2.1.</w:t>
      </w:r>
      <w:r>
        <w:rPr>
          <w:sz w:val="22"/>
          <w:szCs w:val="22"/>
          <w:shd w:fill="FFFFFF" w:val="clear"/>
        </w:rPr>
        <w:t>Охрана объекта заключается в централизованном наблюдении за каналом передачи тревожного извещения по беспроводному каналу</w:t>
      </w:r>
      <w:r>
        <w:rPr>
          <w:color w:val="000000"/>
          <w:sz w:val="22"/>
          <w:szCs w:val="22"/>
          <w:shd w:fill="FFFFFF" w:val="clear"/>
        </w:rPr>
        <w:t xml:space="preserve"> </w:t>
      </w:r>
      <w:r>
        <w:rPr>
          <w:color w:val="000000"/>
          <w:sz w:val="22"/>
          <w:szCs w:val="22"/>
          <w:shd w:fill="FFFFFF" w:val="clear"/>
          <w:lang w:val="en-US"/>
        </w:rPr>
        <w:t>GSM</w:t>
      </w:r>
      <w:r>
        <w:rPr>
          <w:color w:val="000000"/>
          <w:sz w:val="22"/>
          <w:szCs w:val="22"/>
          <w:shd w:fill="FFFFFF" w:val="clear"/>
        </w:rPr>
        <w:t>/</w:t>
      </w:r>
      <w:r>
        <w:rPr>
          <w:color w:val="000000"/>
          <w:sz w:val="22"/>
          <w:szCs w:val="22"/>
          <w:shd w:fill="FFFFFF" w:val="clear"/>
          <w:lang w:val="en-US"/>
        </w:rPr>
        <w:t>GPRS</w:t>
      </w:r>
      <w:r>
        <w:rPr>
          <w:color w:val="000000"/>
          <w:sz w:val="22"/>
          <w:szCs w:val="22"/>
          <w:shd w:fill="FFFFFF" w:val="clear"/>
        </w:rPr>
        <w:t>,</w:t>
      </w:r>
      <w:r>
        <w:rPr>
          <w:color w:val="FF0000"/>
          <w:sz w:val="22"/>
          <w:szCs w:val="22"/>
          <w:shd w:fill="FFFFFF" w:val="clear"/>
        </w:rPr>
        <w:t xml:space="preserve"> </w:t>
      </w:r>
      <w:r>
        <w:rPr>
          <w:sz w:val="22"/>
          <w:szCs w:val="22"/>
          <w:shd w:fill="FFFFFF" w:val="clear"/>
        </w:rPr>
        <w:t xml:space="preserve">с момента приема на пульт до его снятия с пульта. Количество, виды средств тревожной сигнализации размещаемых на объектах </w:t>
      </w:r>
      <w:r>
        <w:rPr>
          <w:b/>
          <w:sz w:val="22"/>
          <w:szCs w:val="22"/>
          <w:shd w:fill="FFFFFF" w:val="clear"/>
        </w:rPr>
        <w:t>КЛИЕНТА</w:t>
      </w:r>
      <w:r>
        <w:rPr>
          <w:sz w:val="22"/>
          <w:szCs w:val="22"/>
          <w:shd w:fill="FFFFFF" w:val="clear"/>
        </w:rPr>
        <w:t>, а также время осуществления централизованного наблюдения за каналом передачи тревожного извещения определяется Приложением № 1, которое пр</w:t>
      </w:r>
      <w:r>
        <w:rPr>
          <w:sz w:val="22"/>
          <w:szCs w:val="22"/>
        </w:rPr>
        <w:t>илагается к договору и является его неотъемлемой частью.</w:t>
      </w:r>
    </w:p>
    <w:p>
      <w:pPr>
        <w:pStyle w:val="Normal"/>
        <w:tabs>
          <w:tab w:val="clear" w:pos="708"/>
          <w:tab w:val="left" w:pos="720" w:leader="none"/>
        </w:tabs>
        <w:ind w:firstLine="540" w:end="0"/>
        <w:jc w:val="both"/>
        <w:rPr/>
      </w:pPr>
      <w:r>
        <w:rPr>
          <w:sz w:val="22"/>
          <w:szCs w:val="22"/>
        </w:rPr>
        <w:t xml:space="preserve">2.2. </w:t>
      </w:r>
      <w:r>
        <w:rPr>
          <w:b/>
          <w:sz w:val="22"/>
          <w:szCs w:val="22"/>
        </w:rPr>
        <w:t>ОХРАНА</w:t>
      </w:r>
      <w:r>
        <w:rPr>
          <w:sz w:val="22"/>
          <w:szCs w:val="22"/>
        </w:rPr>
        <w:t xml:space="preserve"> рекомендует, а </w:t>
      </w:r>
      <w:r>
        <w:rPr>
          <w:b/>
          <w:sz w:val="22"/>
          <w:szCs w:val="22"/>
        </w:rPr>
        <w:t>КЛИЕНТ</w:t>
      </w:r>
      <w:r>
        <w:rPr>
          <w:sz w:val="22"/>
          <w:szCs w:val="22"/>
        </w:rPr>
        <w:t xml:space="preserve"> определяет места установки кнопок тревожной сигнализации, которые отражаются в Акте обследования. </w:t>
      </w:r>
    </w:p>
    <w:p>
      <w:pPr>
        <w:pStyle w:val="Normal"/>
        <w:jc w:val="both"/>
        <w:rPr/>
      </w:pPr>
      <w:r>
        <w:rPr>
          <w:sz w:val="22"/>
          <w:szCs w:val="22"/>
        </w:rPr>
        <w:t xml:space="preserve">        </w:t>
      </w:r>
      <w:r>
        <w:rPr>
          <w:sz w:val="22"/>
          <w:szCs w:val="22"/>
          <w:shd w:fill="FFFFFF" w:val="clear"/>
        </w:rPr>
        <w:t xml:space="preserve">  </w:t>
      </w:r>
      <w:r>
        <w:rPr>
          <w:sz w:val="22"/>
          <w:szCs w:val="22"/>
          <w:shd w:fill="FFFFFF" w:val="clear"/>
        </w:rPr>
        <w:t xml:space="preserve">2.3. Настоящий договор вступает в силу после оборудования объекта техническими средствами, с двумя </w:t>
      </w:r>
      <w:r>
        <w:rPr>
          <w:color w:val="000000"/>
          <w:sz w:val="22"/>
          <w:szCs w:val="22"/>
          <w:shd w:fill="FFFFFF" w:val="clear"/>
        </w:rPr>
        <w:t xml:space="preserve"> </w:t>
      </w:r>
      <w:r>
        <w:rPr>
          <w:color w:val="000000"/>
          <w:sz w:val="22"/>
          <w:szCs w:val="22"/>
          <w:shd w:fill="FFFFFF" w:val="clear"/>
          <w:lang w:val="en-US"/>
        </w:rPr>
        <w:t>SIM</w:t>
      </w:r>
      <w:r>
        <w:rPr>
          <w:color w:val="000000"/>
          <w:sz w:val="22"/>
          <w:szCs w:val="22"/>
          <w:shd w:fill="FFFFFF" w:val="clear"/>
        </w:rPr>
        <w:t xml:space="preserve"> – картами  разных сотовых операторов сотовой связи рекомендованные «Обслуживающей организацией» с балансом не менее 150 рублей на каждой, с указание телефонных номеров </w:t>
      </w:r>
      <w:r>
        <w:rPr>
          <w:sz w:val="22"/>
          <w:szCs w:val="22"/>
          <w:shd w:fill="FFFFFF" w:val="clear"/>
        </w:rPr>
        <w:t xml:space="preserve">и контрольной проверки работоспособности тревожной сигнализации, </w:t>
      </w:r>
      <w:r>
        <w:rPr>
          <w:color w:val="000000"/>
          <w:sz w:val="22"/>
          <w:szCs w:val="22"/>
          <w:shd w:fill="FFFFFF" w:val="clear"/>
        </w:rPr>
        <w:t>для вновь принимаемых объектов</w:t>
      </w:r>
      <w:r>
        <w:rPr>
          <w:sz w:val="22"/>
          <w:szCs w:val="22"/>
          <w:shd w:fill="FFFFFF" w:val="clear"/>
        </w:rPr>
        <w:t>, что закрепляется Актом приема средств сигнализации в эксплуатацию.</w:t>
      </w:r>
    </w:p>
    <w:p>
      <w:pPr>
        <w:pStyle w:val="Normal"/>
        <w:ind w:firstLine="567" w:end="0"/>
        <w:jc w:val="both"/>
        <w:rPr/>
      </w:pPr>
      <w:r>
        <w:rPr>
          <w:sz w:val="22"/>
          <w:szCs w:val="22"/>
        </w:rPr>
        <w:t xml:space="preserve">2.4. Пользование тревожной сигнализацией разрешено только работникам </w:t>
      </w:r>
      <w:r>
        <w:rPr>
          <w:b/>
          <w:sz w:val="22"/>
          <w:szCs w:val="22"/>
        </w:rPr>
        <w:t>КЛИЕНТА</w:t>
      </w:r>
      <w:r>
        <w:rPr>
          <w:sz w:val="22"/>
          <w:szCs w:val="22"/>
        </w:rPr>
        <w:t xml:space="preserve">. Список лиц, ответственных за пользование тревожной сигнализацией, предоставляется </w:t>
      </w:r>
      <w:r>
        <w:rPr>
          <w:b/>
          <w:sz w:val="22"/>
          <w:szCs w:val="22"/>
        </w:rPr>
        <w:t>КЛИЕНТОМ</w:t>
      </w:r>
      <w:r>
        <w:rPr>
          <w:sz w:val="22"/>
          <w:szCs w:val="22"/>
        </w:rPr>
        <w:t xml:space="preserve"> </w:t>
      </w:r>
      <w:r>
        <w:rPr>
          <w:b/>
          <w:sz w:val="22"/>
          <w:szCs w:val="22"/>
        </w:rPr>
        <w:t>ОХРАНЕ</w:t>
      </w:r>
      <w:r>
        <w:rPr>
          <w:sz w:val="22"/>
          <w:szCs w:val="22"/>
        </w:rPr>
        <w:t xml:space="preserve"> до начала оказания услуг по настоящему договору.</w:t>
      </w:r>
    </w:p>
    <w:p>
      <w:pPr>
        <w:pStyle w:val="Normal"/>
        <w:ind w:firstLine="567" w:end="0"/>
        <w:jc w:val="both"/>
        <w:rPr>
          <w:sz w:val="22"/>
          <w:szCs w:val="22"/>
        </w:rPr>
      </w:pPr>
      <w:r>
        <w:rPr>
          <w:sz w:val="22"/>
          <w:szCs w:val="22"/>
        </w:rPr>
        <w:t>2.5. По настоящему договору «Охрана» не отвечают за убытки, причиненные «Клиенту» в результате хищения, повреждения или уничтожения его имущества, а также за вред, причиненный жизни, здоровью «Клиента», его работников и третьих лиц. Требования о возмещении указанных убытков и вреда предъявляются «Клиентом» к непосредственным их причинителям.</w:t>
      </w:r>
    </w:p>
    <w:p>
      <w:pPr>
        <w:pStyle w:val="Normal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3. Обязанности «ОХРАНЫ»</w:t>
      </w:r>
    </w:p>
    <w:p>
      <w:pPr>
        <w:pStyle w:val="33"/>
        <w:tabs>
          <w:tab w:val="clear" w:pos="708"/>
          <w:tab w:val="left" w:pos="851" w:leader="none"/>
        </w:tabs>
        <w:spacing w:before="0" w:after="0"/>
        <w:ind w:firstLine="426" w:start="0" w:end="0"/>
        <w:jc w:val="both"/>
        <w:rPr/>
      </w:pPr>
      <w:r>
        <w:rPr>
          <w:sz w:val="22"/>
          <w:szCs w:val="22"/>
        </w:rPr>
        <w:t xml:space="preserve">3. </w:t>
      </w:r>
      <w:r>
        <w:rPr>
          <w:b/>
          <w:sz w:val="22"/>
          <w:szCs w:val="22"/>
        </w:rPr>
        <w:t>ОХРАНА</w:t>
      </w:r>
      <w:r>
        <w:rPr>
          <w:sz w:val="22"/>
          <w:szCs w:val="22"/>
        </w:rPr>
        <w:t xml:space="preserve"> обязана:</w:t>
      </w:r>
    </w:p>
    <w:p>
      <w:pPr>
        <w:pStyle w:val="33"/>
        <w:tabs>
          <w:tab w:val="clear" w:pos="708"/>
          <w:tab w:val="left" w:pos="851" w:leader="none"/>
        </w:tabs>
        <w:spacing w:before="0" w:after="0"/>
        <w:ind w:firstLine="426" w:start="0" w:end="0"/>
        <w:jc w:val="both"/>
        <w:rPr/>
      </w:pPr>
      <w:r>
        <w:rPr>
          <w:sz w:val="22"/>
          <w:szCs w:val="22"/>
        </w:rPr>
        <w:t>3.1</w:t>
      </w:r>
      <w:r>
        <w:rPr>
          <w:sz w:val="24"/>
          <w:szCs w:val="24"/>
        </w:rPr>
        <w:t xml:space="preserve"> Осуществлять охрану имущества путем реагирования на тревожные сообщения в дни и часы, указанные в прилагаемом к договору Приложении № 1.</w:t>
      </w:r>
    </w:p>
    <w:p>
      <w:pPr>
        <w:pStyle w:val="33"/>
        <w:tabs>
          <w:tab w:val="clear" w:pos="708"/>
          <w:tab w:val="left" w:pos="851" w:leader="none"/>
        </w:tabs>
        <w:spacing w:before="0" w:after="0"/>
        <w:ind w:firstLine="426" w:start="0" w:end="0"/>
        <w:jc w:val="both"/>
        <w:rPr/>
      </w:pP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3.2. При поступлении сигнала «Тревога» с объекта в период времени,</w:t>
      </w:r>
      <w:r>
        <w:rPr>
          <w:color w:val="000000"/>
          <w:sz w:val="22"/>
          <w:szCs w:val="22"/>
        </w:rPr>
        <w:t xml:space="preserve"> когда объект находится под централизованным наблюдением, направлять наряд</w:t>
      </w:r>
      <w:r>
        <w:rPr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 xml:space="preserve">ВНГ России </w:t>
      </w:r>
      <w:r>
        <w:rPr>
          <w:sz w:val="22"/>
          <w:szCs w:val="22"/>
        </w:rPr>
        <w:t>для выяснения причины срабатывания тревожной сигнализации, а при необходимости принимать меры к пресечению противоправных действий и задержанию лиц их совершающих.</w:t>
      </w:r>
    </w:p>
    <w:p>
      <w:pPr>
        <w:pStyle w:val="33"/>
        <w:tabs>
          <w:tab w:val="clear" w:pos="708"/>
          <w:tab w:val="left" w:pos="851" w:leader="none"/>
        </w:tabs>
        <w:spacing w:before="0" w:after="0"/>
        <w:ind w:firstLine="426" w:start="0" w:end="0"/>
        <w:jc w:val="both"/>
        <w:rPr/>
      </w:pPr>
      <w:r>
        <w:rPr>
          <w:sz w:val="22"/>
          <w:szCs w:val="22"/>
        </w:rPr>
        <w:t xml:space="preserve">3.3. В случае изменения тарифов на предоставляемые услуги письменно уведомлять </w:t>
      </w:r>
      <w:r>
        <w:rPr>
          <w:b/>
          <w:sz w:val="22"/>
          <w:szCs w:val="22"/>
        </w:rPr>
        <w:t>КЛИЕНТА</w:t>
      </w:r>
      <w:r>
        <w:rPr>
          <w:sz w:val="22"/>
          <w:szCs w:val="22"/>
        </w:rPr>
        <w:t>.</w:t>
      </w:r>
    </w:p>
    <w:p>
      <w:pPr>
        <w:pStyle w:val="33"/>
        <w:tabs>
          <w:tab w:val="clear" w:pos="708"/>
          <w:tab w:val="left" w:pos="851" w:leader="none"/>
        </w:tabs>
        <w:spacing w:before="0" w:after="0"/>
        <w:ind w:start="142" w:end="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33"/>
        <w:tabs>
          <w:tab w:val="clear" w:pos="708"/>
          <w:tab w:val="left" w:pos="851" w:leader="none"/>
        </w:tabs>
        <w:spacing w:before="0" w:after="0"/>
        <w:ind w:start="142" w:end="0"/>
        <w:jc w:val="center"/>
        <w:rPr/>
      </w:pPr>
      <w:r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4.Обязанности «КЛИЕНТА»</w:t>
      </w:r>
    </w:p>
    <w:p>
      <w:pPr>
        <w:pStyle w:val="2"/>
        <w:spacing w:lineRule="auto" w:line="240" w:before="0" w:after="0"/>
        <w:ind w:firstLine="360" w:start="0" w:end="0"/>
        <w:jc w:val="both"/>
        <w:rPr/>
      </w:pPr>
      <w:r>
        <w:rPr>
          <w:sz w:val="22"/>
          <w:szCs w:val="22"/>
        </w:rPr>
        <w:t xml:space="preserve">4. </w:t>
      </w:r>
      <w:r>
        <w:rPr>
          <w:b/>
          <w:sz w:val="22"/>
          <w:szCs w:val="22"/>
        </w:rPr>
        <w:t>КЛИЕНТ</w:t>
      </w:r>
      <w:r>
        <w:rPr>
          <w:sz w:val="22"/>
          <w:szCs w:val="22"/>
        </w:rPr>
        <w:t xml:space="preserve"> обязуется:</w:t>
      </w:r>
    </w:p>
    <w:p>
      <w:pPr>
        <w:pStyle w:val="BodyTextIndent"/>
        <w:spacing w:before="0" w:after="0"/>
        <w:ind w:firstLine="360" w:start="0" w:end="0"/>
        <w:jc w:val="both"/>
        <w:rPr/>
      </w:pPr>
      <w:r>
        <w:rPr>
          <w:sz w:val="22"/>
          <w:szCs w:val="22"/>
        </w:rPr>
        <w:t xml:space="preserve">4.1. Организовывать и обеспечивать представителям </w:t>
      </w:r>
      <w:r>
        <w:rPr>
          <w:b/>
          <w:sz w:val="22"/>
          <w:szCs w:val="22"/>
        </w:rPr>
        <w:t>ОХРАНЫ</w:t>
      </w:r>
      <w:r>
        <w:rPr>
          <w:sz w:val="22"/>
          <w:szCs w:val="22"/>
        </w:rPr>
        <w:t xml:space="preserve"> возможность доступа на объект в целях выполнения ими обязательств, взятых </w:t>
      </w:r>
      <w:r>
        <w:rPr>
          <w:b/>
          <w:sz w:val="22"/>
          <w:szCs w:val="22"/>
        </w:rPr>
        <w:t>ОХРАНОЙ</w:t>
      </w:r>
      <w:r>
        <w:rPr>
          <w:sz w:val="22"/>
          <w:szCs w:val="22"/>
        </w:rPr>
        <w:t xml:space="preserve"> на себя в соответствии с настоящим договором. </w:t>
      </w:r>
    </w:p>
    <w:p>
      <w:pPr>
        <w:pStyle w:val="BodyTextIndent"/>
        <w:spacing w:before="0" w:after="0"/>
        <w:ind w:firstLine="360" w:start="0" w:end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4.2. Не разглашать посторонним лицам правила пользования тревожной сигнализацией и присвоенный условный номер объекта. </w:t>
      </w:r>
    </w:p>
    <w:p>
      <w:pPr>
        <w:pStyle w:val="BodyTextIndent"/>
        <w:spacing w:before="0" w:after="0"/>
        <w:ind w:firstLine="360" w:start="0" w:end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4.3. Строго соблюдать Инструкцию о порядке пользования средств тревожной сигнализацией Приложение № 2. Не допускать к пользованию средствами сигнализации лиц, не прошедших инструктаж о порядке их пользования, а также не указанных в списке лиц, ответственных за пользование тревожной сигнализацией. </w:t>
      </w:r>
    </w:p>
    <w:p>
      <w:pPr>
        <w:pStyle w:val="BodyTextIndent"/>
        <w:spacing w:before="0" w:after="0"/>
        <w:ind w:firstLine="360" w:start="0" w:end="0"/>
        <w:jc w:val="both"/>
        <w:rPr/>
      </w:pPr>
      <w:r>
        <w:rPr>
          <w:sz w:val="22"/>
          <w:szCs w:val="22"/>
        </w:rPr>
        <w:t xml:space="preserve">4.4. Не вносить изменения в схему блокировки объекта. Своевременно сообщать </w:t>
      </w:r>
      <w:r>
        <w:rPr>
          <w:b/>
          <w:sz w:val="22"/>
          <w:szCs w:val="22"/>
        </w:rPr>
        <w:t>ОХРАНЕ</w:t>
      </w:r>
      <w:r>
        <w:rPr>
          <w:sz w:val="22"/>
          <w:szCs w:val="22"/>
        </w:rPr>
        <w:t xml:space="preserve"> о возникших неисправностях.</w:t>
      </w:r>
    </w:p>
    <w:p>
      <w:pPr>
        <w:pStyle w:val="33"/>
        <w:spacing w:before="0" w:after="0"/>
        <w:ind w:firstLine="360" w:start="0" w:end="0"/>
        <w:jc w:val="both"/>
        <w:rPr>
          <w:sz w:val="22"/>
          <w:szCs w:val="22"/>
        </w:rPr>
      </w:pPr>
      <w:r>
        <w:rPr>
          <w:sz w:val="22"/>
          <w:szCs w:val="22"/>
        </w:rPr>
        <w:t>4.5. При подаче сигнала «Тревога» добиться чёткой фиксации тревожного выключателя, не переключая его до прибытия наряда полиции.</w:t>
      </w:r>
    </w:p>
    <w:p>
      <w:pPr>
        <w:pStyle w:val="33"/>
        <w:spacing w:before="0" w:after="0"/>
        <w:ind w:firstLine="360" w:start="0" w:end="0"/>
        <w:jc w:val="both"/>
        <w:rPr/>
      </w:pPr>
      <w:r>
        <w:rPr>
          <w:sz w:val="22"/>
          <w:szCs w:val="22"/>
        </w:rPr>
        <w:t xml:space="preserve">4.6. Сообщать </w:t>
      </w:r>
      <w:r>
        <w:rPr>
          <w:b/>
          <w:sz w:val="22"/>
          <w:szCs w:val="22"/>
        </w:rPr>
        <w:t>ОХРАНЕ</w:t>
      </w:r>
      <w:r>
        <w:rPr>
          <w:sz w:val="22"/>
          <w:szCs w:val="22"/>
        </w:rPr>
        <w:t xml:space="preserve"> не позднее, чем за 5 дней о проведении ремонтов помещений, вследствие чего </w:t>
      </w:r>
      <w:r>
        <w:rPr>
          <w:sz w:val="22"/>
          <w:szCs w:val="22"/>
          <w:shd w:fill="FFFFFF" w:val="clear"/>
        </w:rPr>
        <w:t>может быть нарушена работоспособность системы тревожной сигнализации.</w:t>
      </w:r>
    </w:p>
    <w:p>
      <w:pPr>
        <w:pStyle w:val="33"/>
        <w:spacing w:before="0" w:after="0"/>
        <w:ind w:firstLine="360" w:start="0" w:end="0"/>
        <w:jc w:val="both"/>
        <w:rPr>
          <w:sz w:val="22"/>
          <w:szCs w:val="22"/>
          <w:shd w:fill="FFFFFF" w:val="clear"/>
        </w:rPr>
      </w:pPr>
      <w:r>
        <w:rPr>
          <w:sz w:val="22"/>
          <w:szCs w:val="22"/>
          <w:shd w:fill="FFFFFF" w:val="clear"/>
        </w:rPr>
        <w:t>4.7. Производить не реже одного раза в сутки проверку работоспособности тревожной сигнализации путем пробной подачи сигнала «Тревога», с предварительным уведомлением об этом дежурной ПЦН по телефону  ____________________________</w:t>
      </w:r>
    </w:p>
    <w:p>
      <w:pPr>
        <w:pStyle w:val="33"/>
        <w:spacing w:before="0" w:after="0"/>
        <w:ind w:firstLine="360" w:start="0" w:end="0"/>
        <w:jc w:val="both"/>
        <w:rPr/>
      </w:pPr>
      <w:r>
        <w:rPr>
          <w:sz w:val="22"/>
          <w:szCs w:val="22"/>
          <w:shd w:fill="FFFFFF" w:val="clear"/>
        </w:rPr>
        <w:t xml:space="preserve">4.8. Принимать меры к своевременному ремонту оборудования </w:t>
      </w:r>
      <w:r>
        <w:rPr>
          <w:color w:val="000000"/>
          <w:sz w:val="22"/>
          <w:szCs w:val="22"/>
          <w:shd w:fill="FFFFFF" w:val="clear"/>
        </w:rPr>
        <w:t xml:space="preserve">связи </w:t>
      </w:r>
      <w:r>
        <w:rPr>
          <w:color w:val="000000"/>
          <w:sz w:val="22"/>
          <w:szCs w:val="22"/>
          <w:shd w:fill="FFFFFF" w:val="clear"/>
          <w:lang w:val="en-US"/>
        </w:rPr>
        <w:t>GSM</w:t>
      </w:r>
      <w:r>
        <w:rPr>
          <w:color w:val="000000"/>
          <w:sz w:val="22"/>
          <w:szCs w:val="22"/>
          <w:shd w:fill="FFFFFF" w:val="clear"/>
        </w:rPr>
        <w:t>/</w:t>
      </w:r>
      <w:r>
        <w:rPr>
          <w:color w:val="000000"/>
          <w:sz w:val="22"/>
          <w:szCs w:val="22"/>
          <w:shd w:fill="FFFFFF" w:val="clear"/>
          <w:lang w:val="en-US"/>
        </w:rPr>
        <w:t>GPRS</w:t>
      </w:r>
      <w:r>
        <w:rPr>
          <w:color w:val="FF0000"/>
          <w:sz w:val="22"/>
          <w:szCs w:val="22"/>
          <w:shd w:fill="FFFFFF" w:val="clear"/>
        </w:rPr>
        <w:t xml:space="preserve"> </w:t>
      </w:r>
      <w:r>
        <w:rPr>
          <w:sz w:val="22"/>
          <w:szCs w:val="22"/>
          <w:shd w:fill="FFFFFF" w:val="clear"/>
        </w:rPr>
        <w:t xml:space="preserve"> и электропитания, к которым подключена сигнализация.</w:t>
      </w:r>
    </w:p>
    <w:p>
      <w:pPr>
        <w:pStyle w:val="33"/>
        <w:spacing w:before="0" w:after="0"/>
        <w:ind w:firstLine="360" w:start="0" w:end="0"/>
        <w:jc w:val="both"/>
        <w:rPr/>
      </w:pPr>
      <w:r>
        <w:rPr>
          <w:sz w:val="22"/>
          <w:szCs w:val="22"/>
          <w:shd w:fill="FFFFFF" w:val="clear"/>
        </w:rPr>
        <w:t xml:space="preserve">4.9. Своевременно производить оплату за оказанные услуги, а также оплатить </w:t>
      </w:r>
      <w:r>
        <w:rPr>
          <w:b/>
          <w:sz w:val="22"/>
          <w:szCs w:val="22"/>
          <w:shd w:fill="FFFFFF" w:val="clear"/>
        </w:rPr>
        <w:t>ОХРАНЕ</w:t>
      </w:r>
      <w:r>
        <w:rPr>
          <w:sz w:val="22"/>
          <w:szCs w:val="22"/>
          <w:shd w:fill="FFFFFF" w:val="clear"/>
        </w:rPr>
        <w:t xml:space="preserve"> расходы, связанные с ложными выездами наряда полиции по вине </w:t>
      </w:r>
      <w:r>
        <w:rPr>
          <w:b/>
          <w:sz w:val="22"/>
          <w:szCs w:val="22"/>
          <w:shd w:fill="FFFFFF" w:val="clear"/>
        </w:rPr>
        <w:t>КЛИЕНТА</w:t>
      </w:r>
      <w:r>
        <w:rPr>
          <w:sz w:val="22"/>
          <w:szCs w:val="22"/>
          <w:shd w:fill="FFFFFF" w:val="clear"/>
        </w:rPr>
        <w:t xml:space="preserve"> в соответствии действующими тарифами.</w:t>
      </w:r>
    </w:p>
    <w:p>
      <w:pPr>
        <w:pStyle w:val="Normal"/>
        <w:ind w:firstLine="360" w:end="0"/>
        <w:jc w:val="both"/>
        <w:rPr/>
      </w:pPr>
      <w:r>
        <w:rPr>
          <w:sz w:val="22"/>
          <w:szCs w:val="22"/>
        </w:rPr>
        <w:t xml:space="preserve"> </w:t>
      </w:r>
      <w:r>
        <w:rPr>
          <w:color w:val="000000"/>
          <w:sz w:val="22"/>
          <w:szCs w:val="22"/>
          <w:shd w:fill="FFFFFF" w:val="clear"/>
        </w:rPr>
        <w:t xml:space="preserve">4.10. </w:t>
      </w:r>
      <w:r>
        <w:rPr>
          <w:b/>
          <w:color w:val="000000"/>
          <w:sz w:val="22"/>
          <w:szCs w:val="22"/>
          <w:shd w:fill="FFFFFF" w:val="clear"/>
        </w:rPr>
        <w:t xml:space="preserve">КЛИЕНТ </w:t>
      </w:r>
      <w:r>
        <w:rPr>
          <w:color w:val="000000"/>
          <w:sz w:val="22"/>
          <w:szCs w:val="22"/>
          <w:shd w:fill="FFFFFF" w:val="clear"/>
        </w:rPr>
        <w:t>обязан заключить договор на техническое обслуживание и капитальный ремонт технических средств тревожной сигнализации в соответствии с п. 1.3. настоящего договора.</w:t>
      </w:r>
    </w:p>
    <w:p>
      <w:pPr>
        <w:pStyle w:val="33"/>
        <w:spacing w:before="0" w:after="0"/>
        <w:ind w:start="0" w:end="0"/>
        <w:jc w:val="both"/>
        <w:rPr/>
      </w:pPr>
      <w:r>
        <w:rPr>
          <w:color w:val="000000"/>
          <w:sz w:val="22"/>
          <w:szCs w:val="22"/>
          <w:shd w:fill="FFFFFF" w:val="clear"/>
        </w:rPr>
        <w:t xml:space="preserve">       </w:t>
      </w:r>
      <w:r>
        <w:rPr>
          <w:color w:val="000000"/>
          <w:sz w:val="22"/>
          <w:szCs w:val="22"/>
          <w:shd w:fill="FFFFFF" w:val="clear"/>
        </w:rPr>
        <w:t xml:space="preserve">4.11.  Поддерживать положительный баланс на </w:t>
      </w:r>
      <w:r>
        <w:rPr>
          <w:color w:val="000000"/>
          <w:sz w:val="22"/>
          <w:szCs w:val="22"/>
          <w:shd w:fill="FFFFFF" w:val="clear"/>
          <w:lang w:val="en-US"/>
        </w:rPr>
        <w:t>SIM</w:t>
      </w:r>
      <w:r>
        <w:rPr>
          <w:color w:val="000000"/>
          <w:sz w:val="22"/>
          <w:szCs w:val="22"/>
          <w:shd w:fill="FFFFFF" w:val="clear"/>
        </w:rPr>
        <w:t xml:space="preserve"> – картах не менее 50 рублей на каждой.</w:t>
      </w:r>
    </w:p>
    <w:p>
      <w:pPr>
        <w:pStyle w:val="Normal"/>
        <w:ind w:end="0"/>
        <w:jc w:val="both"/>
        <w:rPr>
          <w:b w:val="false"/>
          <w:bCs w:val="false"/>
          <w:color w:val="000000"/>
          <w:sz w:val="22"/>
          <w:szCs w:val="22"/>
          <w:highlight w:val="white"/>
        </w:rPr>
      </w:pPr>
      <w:r>
        <w:rPr>
          <w:b w:val="false"/>
          <w:bCs w:val="false"/>
          <w:color w:val="000000"/>
          <w:sz w:val="22"/>
          <w:szCs w:val="22"/>
          <w:highlight w:val="white"/>
        </w:rPr>
      </w:r>
    </w:p>
    <w:p>
      <w:pPr>
        <w:pStyle w:val="Normal"/>
        <w:ind w:firstLine="360" w:end="0"/>
        <w:jc w:val="both"/>
        <w:rPr>
          <w:b w:val="false"/>
          <w:bCs w:val="false"/>
          <w:color w:val="000000"/>
          <w:sz w:val="22"/>
          <w:szCs w:val="22"/>
          <w:highlight w:val="white"/>
        </w:rPr>
      </w:pPr>
      <w:r>
        <w:rPr>
          <w:b w:val="false"/>
          <w:bCs w:val="false"/>
          <w:color w:val="000000"/>
          <w:sz w:val="22"/>
          <w:szCs w:val="22"/>
          <w:highlight w:val="white"/>
        </w:rPr>
      </w:r>
    </w:p>
    <w:p>
      <w:pPr>
        <w:pStyle w:val="Normal"/>
        <w:numPr>
          <w:ilvl w:val="0"/>
          <w:numId w:val="2"/>
        </w:numPr>
        <w:jc w:val="center"/>
        <w:rPr/>
      </w:pPr>
      <w:r>
        <w:rPr>
          <w:b/>
          <w:sz w:val="22"/>
          <w:szCs w:val="22"/>
        </w:rPr>
        <w:t>Права сторон</w:t>
      </w:r>
    </w:p>
    <w:p>
      <w:pPr>
        <w:pStyle w:val="Normal"/>
        <w:numPr>
          <w:ilvl w:val="0"/>
          <w:numId w:val="0"/>
        </w:numPr>
        <w:ind w:hanging="0" w:start="720" w:end="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34"/>
        <w:tabs>
          <w:tab w:val="clear" w:pos="708"/>
          <w:tab w:val="left" w:pos="1260" w:leader="none"/>
        </w:tabs>
        <w:spacing w:before="0" w:after="0"/>
        <w:ind w:firstLine="360" w:end="0"/>
        <w:jc w:val="both"/>
        <w:rPr/>
      </w:pPr>
      <w:r>
        <w:rPr>
          <w:sz w:val="22"/>
          <w:szCs w:val="22"/>
        </w:rPr>
        <w:t xml:space="preserve">5.1. </w:t>
      </w:r>
      <w:r>
        <w:rPr>
          <w:b/>
          <w:sz w:val="22"/>
          <w:szCs w:val="22"/>
        </w:rPr>
        <w:t>ОХРАНА</w:t>
      </w:r>
      <w:r>
        <w:rPr>
          <w:sz w:val="22"/>
          <w:szCs w:val="22"/>
        </w:rPr>
        <w:t xml:space="preserve"> вправе требовать установки элементов сигнализации, срабатывающей независимо от действий персонала при совершении правонарушения.</w:t>
      </w:r>
    </w:p>
    <w:p>
      <w:pPr>
        <w:pStyle w:val="34"/>
        <w:tabs>
          <w:tab w:val="clear" w:pos="708"/>
          <w:tab w:val="left" w:pos="1854" w:leader="none"/>
        </w:tabs>
        <w:spacing w:before="0" w:after="0"/>
        <w:ind w:firstLine="360" w:end="0"/>
        <w:jc w:val="both"/>
        <w:rPr/>
      </w:pPr>
      <w:r>
        <w:rPr>
          <w:sz w:val="22"/>
          <w:szCs w:val="22"/>
        </w:rPr>
        <w:t xml:space="preserve">5.2. В случае отказа </w:t>
      </w:r>
      <w:r>
        <w:rPr>
          <w:b/>
          <w:sz w:val="22"/>
          <w:szCs w:val="22"/>
        </w:rPr>
        <w:t>КЛИЕНТА</w:t>
      </w:r>
      <w:r>
        <w:rPr>
          <w:sz w:val="22"/>
          <w:szCs w:val="22"/>
        </w:rPr>
        <w:t xml:space="preserve"> от выполнения указанных </w:t>
      </w:r>
      <w:r>
        <w:rPr>
          <w:b/>
          <w:sz w:val="22"/>
          <w:szCs w:val="22"/>
        </w:rPr>
        <w:t>ОХРАНОЙ</w:t>
      </w:r>
      <w:r>
        <w:rPr>
          <w:sz w:val="22"/>
          <w:szCs w:val="22"/>
        </w:rPr>
        <w:t xml:space="preserve"> предписаний по дополнительному оснащению тревожной сигнализации соответствующей аппаратурой, </w:t>
      </w:r>
      <w:r>
        <w:rPr>
          <w:b/>
          <w:sz w:val="22"/>
          <w:szCs w:val="22"/>
        </w:rPr>
        <w:t>ОХРАНА</w:t>
      </w:r>
      <w:r>
        <w:rPr>
          <w:sz w:val="22"/>
          <w:szCs w:val="22"/>
        </w:rPr>
        <w:t xml:space="preserve"> имеет право на расторжение договора в одностороннем порядке.</w:t>
      </w:r>
    </w:p>
    <w:p>
      <w:pPr>
        <w:pStyle w:val="34"/>
        <w:tabs>
          <w:tab w:val="clear" w:pos="708"/>
          <w:tab w:val="left" w:pos="1854" w:leader="none"/>
        </w:tabs>
        <w:spacing w:before="0" w:after="0"/>
        <w:ind w:firstLine="360" w:end="0"/>
        <w:jc w:val="both"/>
        <w:rPr/>
      </w:pPr>
      <w:r>
        <w:rPr>
          <w:sz w:val="22"/>
          <w:szCs w:val="22"/>
        </w:rPr>
        <w:t xml:space="preserve">5.3. </w:t>
      </w:r>
      <w:r>
        <w:rPr>
          <w:b/>
          <w:sz w:val="22"/>
          <w:szCs w:val="22"/>
        </w:rPr>
        <w:t>КЛИЕНТ</w:t>
      </w:r>
      <w:r>
        <w:rPr>
          <w:sz w:val="22"/>
          <w:szCs w:val="22"/>
        </w:rPr>
        <w:t xml:space="preserve"> вправе сдавать объект под централизованное наблюдение в период времени, указанный в Приложении № 1.</w:t>
      </w:r>
    </w:p>
    <w:p>
      <w:pPr>
        <w:pStyle w:val="34"/>
        <w:tabs>
          <w:tab w:val="clear" w:pos="708"/>
          <w:tab w:val="left" w:pos="1854" w:leader="none"/>
        </w:tabs>
        <w:spacing w:before="0" w:after="0"/>
        <w:jc w:val="both"/>
        <w:rPr/>
      </w:pPr>
      <w:r>
        <w:rPr>
          <w:sz w:val="22"/>
          <w:szCs w:val="22"/>
        </w:rPr>
        <w:t xml:space="preserve">   </w:t>
      </w:r>
      <w:r>
        <w:rPr>
          <w:sz w:val="22"/>
          <w:szCs w:val="22"/>
          <w:shd w:fill="FFFFFF" w:val="clear"/>
        </w:rPr>
        <w:t xml:space="preserve">5.4. </w:t>
      </w:r>
      <w:bookmarkStart w:id="0" w:name="_Ref131306191"/>
      <w:r>
        <w:rPr>
          <w:sz w:val="22"/>
          <w:szCs w:val="22"/>
          <w:shd w:fill="FFFFFF" w:val="clear"/>
        </w:rPr>
        <w:t xml:space="preserve">В случаях невозможности выполнения </w:t>
      </w:r>
      <w:r>
        <w:rPr>
          <w:b/>
          <w:sz w:val="22"/>
          <w:szCs w:val="22"/>
          <w:shd w:fill="FFFFFF" w:val="clear"/>
        </w:rPr>
        <w:t>ОХРАНОЙ</w:t>
      </w:r>
      <w:r>
        <w:rPr>
          <w:sz w:val="22"/>
          <w:szCs w:val="22"/>
          <w:shd w:fill="FFFFFF" w:val="clear"/>
        </w:rPr>
        <w:t xml:space="preserve"> обязанностей, принятых на себя по настоящему договору, по независящим причинам: </w:t>
      </w:r>
      <w:r>
        <w:rPr>
          <w:color w:val="000000"/>
          <w:sz w:val="22"/>
          <w:szCs w:val="22"/>
          <w:shd w:fill="FFFFFF" w:val="clear"/>
        </w:rPr>
        <w:t xml:space="preserve">отключение или отсутствия связи </w:t>
      </w:r>
      <w:r>
        <w:rPr>
          <w:color w:val="000000"/>
          <w:sz w:val="22"/>
          <w:szCs w:val="22"/>
          <w:shd w:fill="FFFFFF" w:val="clear"/>
          <w:lang w:val="en-US"/>
        </w:rPr>
        <w:t>GSM</w:t>
      </w:r>
      <w:r>
        <w:rPr>
          <w:color w:val="000000"/>
          <w:sz w:val="22"/>
          <w:szCs w:val="22"/>
          <w:shd w:fill="FFFFFF" w:val="clear"/>
        </w:rPr>
        <w:t>/</w:t>
      </w:r>
      <w:r>
        <w:rPr>
          <w:color w:val="000000"/>
          <w:sz w:val="22"/>
          <w:szCs w:val="22"/>
          <w:shd w:fill="FFFFFF" w:val="clear"/>
          <w:lang w:val="en-US"/>
        </w:rPr>
        <w:t>GPRS</w:t>
      </w:r>
      <w:r>
        <w:rPr>
          <w:color w:val="000000"/>
          <w:sz w:val="22"/>
          <w:szCs w:val="22"/>
          <w:shd w:fill="FFFFFF" w:val="clear"/>
        </w:rPr>
        <w:t>, замена системы централизованного наблюдения,</w:t>
      </w:r>
      <w:r>
        <w:rPr>
          <w:color w:val="FF0000"/>
          <w:sz w:val="22"/>
          <w:szCs w:val="22"/>
          <w:shd w:fill="FFFFFF" w:val="clear"/>
        </w:rPr>
        <w:t xml:space="preserve"> </w:t>
      </w:r>
      <w:r>
        <w:rPr>
          <w:sz w:val="22"/>
          <w:szCs w:val="22"/>
          <w:shd w:fill="FFFFFF" w:val="clear"/>
        </w:rPr>
        <w:t xml:space="preserve">отключении электроэнергии, а также в случаях нарушения </w:t>
      </w:r>
      <w:r>
        <w:rPr>
          <w:b/>
          <w:sz w:val="22"/>
          <w:szCs w:val="22"/>
          <w:shd w:fill="FFFFFF" w:val="clear"/>
        </w:rPr>
        <w:t>КЛИЕНТОМ</w:t>
      </w:r>
      <w:r>
        <w:rPr>
          <w:sz w:val="22"/>
          <w:szCs w:val="22"/>
          <w:shd w:fill="FFFFFF" w:val="clear"/>
        </w:rPr>
        <w:t xml:space="preserve"> условий договора, предусмотренных в разделе настоящего договора, </w:t>
      </w:r>
      <w:r>
        <w:rPr>
          <w:b/>
          <w:sz w:val="22"/>
          <w:szCs w:val="22"/>
          <w:shd w:fill="FFFFFF" w:val="clear"/>
        </w:rPr>
        <w:t>ОХРАНА</w:t>
      </w:r>
      <w:r>
        <w:rPr>
          <w:sz w:val="22"/>
          <w:szCs w:val="22"/>
          <w:shd w:fill="FFFFFF" w:val="clear"/>
        </w:rPr>
        <w:t xml:space="preserve"> в праве не принимать объект под централизованное наблюдение до устранения указанных причин, о чем </w:t>
      </w:r>
      <w:r>
        <w:rPr>
          <w:b/>
          <w:sz w:val="22"/>
          <w:szCs w:val="22"/>
          <w:shd w:fill="FFFFFF" w:val="clear"/>
        </w:rPr>
        <w:t>КЛИЕНТ</w:t>
      </w:r>
      <w:r>
        <w:rPr>
          <w:sz w:val="22"/>
          <w:szCs w:val="22"/>
          <w:shd w:fill="FFFFFF" w:val="clear"/>
        </w:rPr>
        <w:t xml:space="preserve"> ставиться в известность при сдаче объекта под централизованное наблюдение.</w:t>
      </w:r>
      <w:bookmarkEnd w:id="0"/>
    </w:p>
    <w:p>
      <w:pPr>
        <w:pStyle w:val="Normal"/>
        <w:numPr>
          <w:ilvl w:val="0"/>
          <w:numId w:val="3"/>
        </w:numPr>
        <w:jc w:val="center"/>
        <w:rPr/>
      </w:pPr>
      <w:r>
        <w:rPr>
          <w:b/>
          <w:sz w:val="22"/>
          <w:szCs w:val="22"/>
        </w:rPr>
        <w:t>Сумма договора и порядок расчета.</w:t>
      </w:r>
    </w:p>
    <w:p>
      <w:pPr>
        <w:pStyle w:val="34"/>
        <w:widowControl/>
        <w:tabs>
          <w:tab w:val="clear" w:pos="708"/>
          <w:tab w:val="left" w:pos="720" w:leader="none"/>
        </w:tabs>
        <w:suppressAutoHyphens w:val="true"/>
        <w:bidi w:val="0"/>
        <w:spacing w:before="0" w:after="0"/>
        <w:ind w:firstLine="624" w:end="0"/>
        <w:jc w:val="both"/>
        <w:rPr>
          <w:vanish w:val="false"/>
          <w:sz w:val="22"/>
          <w:szCs w:val="22"/>
        </w:rPr>
      </w:pPr>
      <w:r>
        <w:rPr>
          <w:vanish w:val="false"/>
          <w:sz w:val="22"/>
          <w:szCs w:val="22"/>
        </w:rPr>
        <w:t xml:space="preserve">6.1. Сумма договора в месяц определяется в зависимости от количества и категорий охраняемых объектов, а также времени их охраны и указываются в Перечне услуг «Охраны» Приложение № 1, которое является неотъемлемой частью договора. </w:t>
      </w:r>
    </w:p>
    <w:p>
      <w:pPr>
        <w:pStyle w:val="Normal"/>
        <w:widowControl/>
        <w:tabs>
          <w:tab w:val="clear" w:pos="708"/>
          <w:tab w:val="left" w:pos="0" w:leader="none"/>
        </w:tabs>
        <w:suppressAutoHyphens w:val="true"/>
        <w:bidi w:val="0"/>
        <w:spacing w:before="0" w:after="0"/>
        <w:ind w:firstLine="624" w:end="0"/>
        <w:jc w:val="both"/>
        <w:rPr/>
      </w:pPr>
      <w:r>
        <w:rPr>
          <w:sz w:val="22"/>
          <w:szCs w:val="22"/>
        </w:rPr>
        <w:t>6.2. Оплата за услуги, предоставляемые за охрану по настоящему договору производится ежемесячно</w:t>
      </w:r>
      <w:r>
        <w:rPr>
          <w:sz w:val="22"/>
          <w:szCs w:val="22"/>
          <w:highlight w:val="white"/>
        </w:rPr>
        <w:t xml:space="preserve">, путем перечисления </w:t>
      </w:r>
      <w:r>
        <w:rPr>
          <w:b/>
          <w:sz w:val="22"/>
          <w:szCs w:val="22"/>
          <w:highlight w:val="white"/>
        </w:rPr>
        <w:t>КЛИЕНТОМ</w:t>
      </w:r>
      <w:r>
        <w:rPr>
          <w:sz w:val="22"/>
          <w:szCs w:val="22"/>
          <w:highlight w:val="white"/>
        </w:rPr>
        <w:t xml:space="preserve"> денежной суммы в соответствии с пунктом 5.1. настоящего договора на расчетный счет </w:t>
      </w:r>
      <w:r>
        <w:rPr>
          <w:b/>
          <w:color w:val="000000"/>
          <w:sz w:val="22"/>
          <w:szCs w:val="22"/>
          <w:highlight w:val="white"/>
        </w:rPr>
        <w:t>ОХРАНЫ</w:t>
      </w:r>
      <w:r>
        <w:rPr>
          <w:color w:val="000000"/>
          <w:sz w:val="22"/>
          <w:szCs w:val="22"/>
          <w:highlight w:val="white"/>
        </w:rPr>
        <w:t xml:space="preserve"> до 20 числа текущего </w:t>
      </w:r>
      <w:r>
        <w:rPr>
          <w:sz w:val="22"/>
          <w:szCs w:val="22"/>
          <w:highlight w:val="white"/>
        </w:rPr>
        <w:t>месяца на основании выставленного счет</w:t>
      </w:r>
      <w:r>
        <w:rPr>
          <w:color w:val="000000"/>
          <w:sz w:val="22"/>
          <w:szCs w:val="22"/>
          <w:highlight w:val="white"/>
        </w:rPr>
        <w:t>а. В случае неоплаты в установленные сроки, Клиенту направляются уведомление, по истечении 10 (десяти) дней действие договора приостанавливается, средства сигнализации снимаются с охраны.</w:t>
      </w:r>
    </w:p>
    <w:p>
      <w:pPr>
        <w:pStyle w:val="Normal"/>
        <w:jc w:val="both"/>
        <w:rPr/>
      </w:pPr>
      <w:r>
        <w:rPr>
          <w:sz w:val="22"/>
          <w:szCs w:val="22"/>
          <w:highlight w:val="white"/>
        </w:rPr>
        <w:tab/>
        <w:t xml:space="preserve">6.3. Сумма договора может быть изменена </w:t>
      </w:r>
      <w:r>
        <w:rPr>
          <w:b/>
          <w:sz w:val="22"/>
          <w:szCs w:val="22"/>
          <w:highlight w:val="white"/>
        </w:rPr>
        <w:t>ОХРАНОЙ</w:t>
      </w:r>
      <w:r>
        <w:rPr>
          <w:sz w:val="22"/>
          <w:szCs w:val="22"/>
          <w:highlight w:val="white"/>
        </w:rPr>
        <w:t xml:space="preserve">, в связи с изменением тарифов на охранные услуги и на основании действующего законодательства. Если по истечению 10 дней с момента письменного уведомления </w:t>
      </w:r>
      <w:r>
        <w:rPr>
          <w:b/>
          <w:sz w:val="22"/>
          <w:szCs w:val="22"/>
          <w:highlight w:val="white"/>
        </w:rPr>
        <w:t>ОХРАНОЙ КЛИЕНТА</w:t>
      </w:r>
      <w:r>
        <w:rPr>
          <w:sz w:val="22"/>
          <w:szCs w:val="22"/>
          <w:highlight w:val="white"/>
        </w:rPr>
        <w:t xml:space="preserve"> об изменении тарифов </w:t>
      </w:r>
      <w:r>
        <w:rPr>
          <w:b/>
          <w:sz w:val="22"/>
          <w:szCs w:val="22"/>
          <w:highlight w:val="white"/>
        </w:rPr>
        <w:t>КЛИЕНТ</w:t>
      </w:r>
      <w:r>
        <w:rPr>
          <w:sz w:val="22"/>
          <w:szCs w:val="22"/>
          <w:highlight w:val="white"/>
        </w:rPr>
        <w:t xml:space="preserve"> продолжает пользоваться услугами, предоставляемыми </w:t>
      </w:r>
      <w:r>
        <w:rPr>
          <w:b/>
          <w:sz w:val="22"/>
          <w:szCs w:val="22"/>
          <w:highlight w:val="white"/>
        </w:rPr>
        <w:t>ОХРАНОЙ</w:t>
      </w:r>
      <w:r>
        <w:rPr>
          <w:sz w:val="22"/>
          <w:szCs w:val="22"/>
          <w:highlight w:val="white"/>
        </w:rPr>
        <w:t xml:space="preserve"> в соответствии с настоящим договором, то новый тариф автоматически считается принятым </w:t>
      </w:r>
      <w:r>
        <w:rPr>
          <w:b/>
          <w:sz w:val="22"/>
          <w:szCs w:val="22"/>
          <w:highlight w:val="white"/>
        </w:rPr>
        <w:t>КЛИЕНТОМ</w:t>
      </w:r>
      <w:r>
        <w:rPr>
          <w:sz w:val="22"/>
          <w:szCs w:val="22"/>
          <w:highlight w:val="white"/>
        </w:rPr>
        <w:t>.</w:t>
      </w:r>
    </w:p>
    <w:p>
      <w:pPr>
        <w:pStyle w:val="Normal"/>
        <w:jc w:val="both"/>
        <w:rPr/>
      </w:pPr>
      <w:r>
        <w:rPr>
          <w:sz w:val="22"/>
          <w:szCs w:val="22"/>
          <w:highlight w:val="white"/>
        </w:rPr>
        <w:tab/>
        <w:t xml:space="preserve">6.4. Отказ </w:t>
      </w:r>
      <w:r>
        <w:rPr>
          <w:b/>
          <w:sz w:val="22"/>
          <w:szCs w:val="22"/>
          <w:highlight w:val="white"/>
        </w:rPr>
        <w:t>КЛИЕНТА</w:t>
      </w:r>
      <w:r>
        <w:rPr>
          <w:sz w:val="22"/>
          <w:szCs w:val="22"/>
          <w:highlight w:val="white"/>
        </w:rPr>
        <w:t xml:space="preserve"> от оплаты услуг </w:t>
      </w:r>
      <w:r>
        <w:rPr>
          <w:b/>
          <w:sz w:val="22"/>
          <w:szCs w:val="22"/>
          <w:highlight w:val="white"/>
        </w:rPr>
        <w:t>ОХРАНЫ</w:t>
      </w:r>
      <w:r>
        <w:rPr>
          <w:sz w:val="22"/>
          <w:szCs w:val="22"/>
          <w:highlight w:val="white"/>
        </w:rPr>
        <w:t xml:space="preserve"> по новым тарифам является основанием к расторжению </w:t>
      </w:r>
      <w:r>
        <w:rPr>
          <w:b/>
          <w:sz w:val="22"/>
          <w:szCs w:val="22"/>
          <w:highlight w:val="white"/>
        </w:rPr>
        <w:t>ОХРАНОЙ</w:t>
      </w:r>
      <w:r>
        <w:rPr>
          <w:sz w:val="22"/>
          <w:szCs w:val="22"/>
          <w:highlight w:val="white"/>
        </w:rPr>
        <w:t xml:space="preserve"> договора в одностороннем порядке, с уведомлением </w:t>
      </w:r>
      <w:r>
        <w:rPr>
          <w:b/>
          <w:sz w:val="22"/>
          <w:szCs w:val="22"/>
          <w:highlight w:val="white"/>
        </w:rPr>
        <w:t>КЛИЕНТА</w:t>
      </w:r>
      <w:r>
        <w:rPr>
          <w:sz w:val="22"/>
          <w:szCs w:val="22"/>
          <w:highlight w:val="white"/>
        </w:rPr>
        <w:t xml:space="preserve"> за 3 дня.</w:t>
      </w:r>
    </w:p>
    <w:p>
      <w:pPr>
        <w:pStyle w:val="Normal"/>
        <w:tabs>
          <w:tab w:val="clear" w:pos="708"/>
          <w:tab w:val="left" w:pos="0" w:leader="none"/>
        </w:tabs>
        <w:ind w:firstLine="360" w:end="0"/>
        <w:jc w:val="both"/>
        <w:rPr/>
      </w:pPr>
      <w:r>
        <w:rPr>
          <w:vanish w:val="false"/>
          <w:color w:val="FF0000"/>
          <w:sz w:val="22"/>
          <w:szCs w:val="22"/>
          <w:highlight w:val="white"/>
        </w:rPr>
        <w:tab/>
      </w:r>
      <w:r>
        <w:rPr>
          <w:vanish w:val="false"/>
          <w:color w:val="000000"/>
          <w:sz w:val="22"/>
          <w:szCs w:val="22"/>
          <w:highlight w:val="white"/>
        </w:rPr>
        <w:t>6.5. За каждый ложный вызов наряда ВНГ России по сигналу «тревога» по вине «Клиента», последний уплачивает «Охране» расходы в размере тарифов, утвержденных приказом начальника ФГКУ «ОВО ВНГ России по Астраханской области» и действующих на день их применения</w:t>
      </w:r>
    </w:p>
    <w:p>
      <w:pPr>
        <w:pStyle w:val="Normal"/>
        <w:tabs>
          <w:tab w:val="clear" w:pos="708"/>
          <w:tab w:val="left" w:pos="0" w:leader="none"/>
        </w:tabs>
        <w:ind w:firstLine="360" w:end="0"/>
        <w:jc w:val="both"/>
        <w:rPr/>
      </w:pPr>
      <w:r>
        <w:rPr>
          <w:b w:val="false"/>
          <w:bCs w:val="false"/>
          <w:color w:val="000000"/>
          <w:sz w:val="22"/>
          <w:szCs w:val="22"/>
          <w:highlight w:val="white"/>
        </w:rPr>
        <w:t xml:space="preserve">  </w:t>
      </w:r>
      <w:r>
        <w:rPr>
          <w:b w:val="false"/>
          <w:bCs w:val="false"/>
          <w:color w:val="000000"/>
          <w:sz w:val="22"/>
          <w:szCs w:val="22"/>
          <w:highlight w:val="white"/>
        </w:rPr>
        <w:t>6.6. В случае приостановления действия настоящего договора «Клиент» оплачивает «Охране» компенсацию за амортизацию задействованной емкости программно-аппаратной части канал связи GSM.</w:t>
      </w:r>
    </w:p>
    <w:p>
      <w:pPr>
        <w:pStyle w:val="Normal"/>
        <w:tabs>
          <w:tab w:val="clear" w:pos="708"/>
          <w:tab w:val="left" w:pos="0" w:leader="none"/>
        </w:tabs>
        <w:spacing w:before="0" w:after="0"/>
        <w:ind w:end="0"/>
        <w:contextualSpacing/>
        <w:jc w:val="both"/>
        <w:rPr>
          <w:b w:val="false"/>
          <w:bCs w:val="false"/>
          <w:color w:val="000000"/>
          <w:sz w:val="22"/>
          <w:szCs w:val="22"/>
          <w:highlight w:val="white"/>
        </w:rPr>
      </w:pPr>
      <w:r>
        <w:rPr>
          <w:b w:val="false"/>
          <w:bCs w:val="false"/>
          <w:color w:val="000000"/>
          <w:sz w:val="22"/>
          <w:szCs w:val="22"/>
          <w:highlight w:val="white"/>
        </w:rPr>
        <w:tab/>
        <w:t xml:space="preserve">6.7. Стоимость услуг «Охраны» НДС не облагается в соответствии с главой 21 Налогового Кодекса РФ. </w:t>
      </w:r>
    </w:p>
    <w:p>
      <w:pPr>
        <w:pStyle w:val="Normal"/>
        <w:jc w:val="center"/>
        <w:rPr>
          <w:b/>
          <w:sz w:val="22"/>
          <w:szCs w:val="22"/>
          <w:highlight w:val="white"/>
        </w:rPr>
      </w:pPr>
      <w:r>
        <w:rPr>
          <w:b/>
          <w:sz w:val="22"/>
          <w:szCs w:val="22"/>
          <w:highlight w:val="white"/>
        </w:rPr>
        <w:t>7. Ответственность сторон</w:t>
      </w:r>
    </w:p>
    <w:p>
      <w:pPr>
        <w:pStyle w:val="34"/>
        <w:tabs>
          <w:tab w:val="clear" w:pos="708"/>
          <w:tab w:val="left" w:pos="540" w:leader="none"/>
          <w:tab w:val="left" w:pos="1080" w:leader="none"/>
          <w:tab w:val="left" w:pos="1260" w:leader="none"/>
        </w:tabs>
        <w:spacing w:before="0" w:after="0"/>
        <w:ind w:firstLine="360" w:end="0"/>
        <w:jc w:val="both"/>
        <w:rPr/>
      </w:pPr>
      <w:r>
        <w:rPr>
          <w:sz w:val="22"/>
          <w:szCs w:val="22"/>
        </w:rPr>
        <w:t xml:space="preserve">7.1. При неуплате </w:t>
      </w:r>
      <w:r>
        <w:rPr>
          <w:b/>
          <w:sz w:val="22"/>
          <w:szCs w:val="22"/>
        </w:rPr>
        <w:t>КЛИЕНТОМ</w:t>
      </w:r>
      <w:r>
        <w:rPr>
          <w:sz w:val="22"/>
          <w:szCs w:val="22"/>
        </w:rPr>
        <w:t xml:space="preserve"> в установленные настоящим договором сроки сумм за услуги, предоставляемые </w:t>
      </w:r>
      <w:r>
        <w:rPr>
          <w:b/>
          <w:sz w:val="22"/>
          <w:szCs w:val="22"/>
        </w:rPr>
        <w:t>ОХРАНОЙ</w:t>
      </w:r>
      <w:r>
        <w:rPr>
          <w:sz w:val="22"/>
          <w:szCs w:val="22"/>
        </w:rPr>
        <w:t xml:space="preserve">, </w:t>
      </w:r>
      <w:r>
        <w:rPr>
          <w:b/>
          <w:sz w:val="22"/>
          <w:szCs w:val="22"/>
        </w:rPr>
        <w:t>КЛИЕНТ</w:t>
      </w:r>
      <w:r>
        <w:rPr>
          <w:sz w:val="22"/>
          <w:szCs w:val="22"/>
        </w:rPr>
        <w:t xml:space="preserve"> несет ответственность в соответствии с действующим законодательством.</w:t>
      </w:r>
    </w:p>
    <w:p>
      <w:pPr>
        <w:pStyle w:val="34"/>
        <w:tabs>
          <w:tab w:val="clear" w:pos="708"/>
          <w:tab w:val="left" w:pos="540" w:leader="none"/>
          <w:tab w:val="left" w:pos="1080" w:leader="none"/>
          <w:tab w:val="left" w:pos="1260" w:leader="none"/>
        </w:tabs>
        <w:spacing w:before="0" w:after="0"/>
        <w:ind w:firstLine="360" w:end="0"/>
        <w:jc w:val="both"/>
        <w:rPr/>
      </w:pPr>
      <w:r>
        <w:rPr>
          <w:sz w:val="22"/>
          <w:szCs w:val="22"/>
        </w:rPr>
        <w:t xml:space="preserve">7.2. </w:t>
      </w:r>
      <w:r>
        <w:rPr>
          <w:b/>
          <w:sz w:val="22"/>
          <w:szCs w:val="22"/>
        </w:rPr>
        <w:t>КЛИЕНТ</w:t>
      </w:r>
      <w:r>
        <w:rPr>
          <w:sz w:val="22"/>
          <w:szCs w:val="22"/>
        </w:rPr>
        <w:t xml:space="preserve"> компенсирует </w:t>
      </w:r>
      <w:r>
        <w:rPr>
          <w:b/>
          <w:sz w:val="22"/>
          <w:szCs w:val="22"/>
        </w:rPr>
        <w:t>ОХРАНЕ</w:t>
      </w:r>
      <w:r>
        <w:rPr>
          <w:sz w:val="22"/>
          <w:szCs w:val="22"/>
        </w:rPr>
        <w:t xml:space="preserve"> расходы, связанные с выездами нарядов полиции вследствие поступления с объекта ложного сигнала тревоги из-за нарушений правил пользования средствами сигнализации клиентом и другими лицами, имеющими право в соответствии с условиями договора.</w:t>
      </w:r>
    </w:p>
    <w:p>
      <w:pPr>
        <w:pStyle w:val="33"/>
        <w:numPr>
          <w:ilvl w:val="0"/>
          <w:numId w:val="4"/>
        </w:numPr>
        <w:spacing w:before="0" w:after="0"/>
        <w:jc w:val="center"/>
        <w:rPr/>
      </w:pPr>
      <w:r>
        <w:rPr>
          <w:b/>
          <w:sz w:val="22"/>
          <w:szCs w:val="22"/>
        </w:rPr>
        <w:t>Форс-мажорные обстоятельства</w:t>
      </w:r>
    </w:p>
    <w:p>
      <w:pPr>
        <w:pStyle w:val="Normal"/>
        <w:jc w:val="both"/>
        <w:rPr/>
      </w:pPr>
      <w:r>
        <w:rPr>
          <w:b/>
          <w:sz w:val="22"/>
          <w:szCs w:val="22"/>
        </w:rPr>
        <w:tab/>
      </w:r>
      <w:r>
        <w:rPr>
          <w:sz w:val="22"/>
          <w:szCs w:val="22"/>
        </w:rPr>
        <w:t xml:space="preserve">8.1. </w:t>
      </w:r>
      <w:r>
        <w:rPr>
          <w:sz w:val="22"/>
          <w:szCs w:val="22"/>
          <w:highlight w:val="white"/>
        </w:rPr>
        <w:t>Наличие форс-мажорных обстоятельств у одной из С</w:t>
      </w:r>
      <w:r>
        <w:rPr>
          <w:rFonts w:eastAsia="Times New Roman" w:cs="Times New Roman"/>
          <w:color w:val="auto"/>
          <w:kern w:val="0"/>
          <w:sz w:val="22"/>
          <w:szCs w:val="22"/>
          <w:highlight w:val="white"/>
          <w:lang w:val="ru-RU" w:eastAsia="ru-RU" w:bidi="ar-SA"/>
        </w:rPr>
        <w:t>торон</w:t>
      </w:r>
      <w:r>
        <w:rPr>
          <w:sz w:val="22"/>
          <w:szCs w:val="22"/>
          <w:highlight w:val="white"/>
        </w:rPr>
        <w:t xml:space="preserve"> (обстоятельств непреодолимой силы, непредвиденных, неконтролируемых, непредсказуемых, делающих исполнение условий настоящего договора невозможными, а именно: землетрясения, наводнения, ураганы, других природных (стихийных) явлений, некоторых обстоятельств общественной жизни (</w:t>
      </w:r>
      <w:r>
        <w:rPr>
          <w:bCs/>
          <w:color w:val="000000"/>
          <w:sz w:val="22"/>
          <w:szCs w:val="22"/>
          <w:highlight w:val="white"/>
          <w:lang w:val="ru-RU"/>
        </w:rPr>
        <w:t>гражданских волнений</w:t>
      </w:r>
      <w:r>
        <w:rPr>
          <w:bCs/>
          <w:color w:val="000000"/>
          <w:sz w:val="22"/>
          <w:szCs w:val="22"/>
          <w:highlight w:val="white"/>
        </w:rPr>
        <w:t>)</w:t>
      </w:r>
      <w:r>
        <w:rPr>
          <w:sz w:val="22"/>
          <w:szCs w:val="22"/>
          <w:highlight w:val="white"/>
        </w:rPr>
        <w:t xml:space="preserve">, </w:t>
      </w:r>
      <w:r>
        <w:rPr>
          <w:bCs/>
          <w:color w:val="000000"/>
          <w:sz w:val="22"/>
          <w:szCs w:val="22"/>
          <w:highlight w:val="white"/>
          <w:lang w:val="ru-RU"/>
        </w:rPr>
        <w:t>в том числе объявленной или фактической войны</w:t>
      </w:r>
      <w:r>
        <w:rPr>
          <w:bCs/>
          <w:color w:val="000000"/>
          <w:sz w:val="22"/>
          <w:szCs w:val="22"/>
          <w:highlight w:val="white"/>
        </w:rPr>
        <w:t xml:space="preserve"> (военных действий)</w:t>
      </w:r>
      <w:r>
        <w:rPr>
          <w:sz w:val="22"/>
          <w:szCs w:val="22"/>
          <w:highlight w:val="white"/>
          <w:lang w:eastAsia="ar-SA"/>
        </w:rPr>
        <w:t xml:space="preserve"> диверсии</w:t>
      </w:r>
      <w:r>
        <w:rPr>
          <w:bCs/>
          <w:color w:val="000000"/>
          <w:sz w:val="22"/>
          <w:szCs w:val="22"/>
          <w:highlight w:val="white"/>
          <w:lang w:val="ru-RU"/>
        </w:rPr>
        <w:t>, эпидемий, блокады, эмбарго</w:t>
      </w:r>
      <w:r>
        <w:rPr>
          <w:bCs/>
          <w:color w:val="000000"/>
          <w:sz w:val="22"/>
          <w:szCs w:val="22"/>
          <w:highlight w:val="white"/>
        </w:rPr>
        <w:t>,</w:t>
      </w:r>
      <w:r>
        <w:rPr>
          <w:sz w:val="22"/>
          <w:szCs w:val="22"/>
          <w:highlight w:val="white"/>
        </w:rPr>
        <w:t xml:space="preserve"> пожары, аварии,  в которых непосредственно либо косвенно участвует сторона по настоящему договору, указов Президента Российской Федерации и постановлений Правительства Российской Федерации, а также постановления или распоряжения органов государственной власти, изменений в текущем законодательстве или других независящих от сторон обстоятельств), возникших после заключения С</w:t>
      </w:r>
      <w:r>
        <w:rPr>
          <w:rFonts w:eastAsia="Times New Roman" w:cs="Times New Roman"/>
          <w:color w:val="auto"/>
          <w:kern w:val="0"/>
          <w:sz w:val="22"/>
          <w:szCs w:val="22"/>
          <w:highlight w:val="white"/>
          <w:lang w:val="ru-RU" w:eastAsia="ru-RU" w:bidi="ar-SA"/>
        </w:rPr>
        <w:t>торонами</w:t>
      </w:r>
      <w:r>
        <w:rPr>
          <w:sz w:val="22"/>
          <w:szCs w:val="22"/>
          <w:highlight w:val="white"/>
        </w:rPr>
        <w:t xml:space="preserve"> настоящего договора, либо вытекающих из существа договора, равно как и в ходе выполнения С</w:t>
      </w:r>
      <w:r>
        <w:rPr>
          <w:rFonts w:eastAsia="Times New Roman" w:cs="Times New Roman"/>
          <w:color w:val="auto"/>
          <w:kern w:val="0"/>
          <w:sz w:val="22"/>
          <w:szCs w:val="22"/>
          <w:highlight w:val="white"/>
          <w:lang w:val="ru-RU" w:eastAsia="ru-RU" w:bidi="ar-SA"/>
        </w:rPr>
        <w:t>торонами</w:t>
      </w:r>
      <w:r>
        <w:rPr>
          <w:sz w:val="22"/>
          <w:szCs w:val="22"/>
          <w:highlight w:val="white"/>
        </w:rPr>
        <w:t xml:space="preserve"> принятых на себя обязательств, которые ни одна из С</w:t>
      </w:r>
      <w:r>
        <w:rPr>
          <w:rFonts w:eastAsia="Times New Roman" w:cs="Times New Roman"/>
          <w:color w:val="auto"/>
          <w:kern w:val="0"/>
          <w:sz w:val="22"/>
          <w:szCs w:val="22"/>
          <w:highlight w:val="white"/>
          <w:lang w:val="ru-RU" w:eastAsia="ru-RU" w:bidi="ar-SA"/>
        </w:rPr>
        <w:t>торонами</w:t>
      </w:r>
      <w:r>
        <w:rPr>
          <w:sz w:val="22"/>
          <w:szCs w:val="22"/>
          <w:highlight w:val="white"/>
        </w:rPr>
        <w:t xml:space="preserve"> не могла предвидеть или предотвратить доступными и посильными средствами, освобождает эту С</w:t>
      </w:r>
      <w:r>
        <w:rPr>
          <w:rFonts w:eastAsia="Times New Roman" w:cs="Times New Roman"/>
          <w:color w:val="auto"/>
          <w:kern w:val="0"/>
          <w:sz w:val="22"/>
          <w:szCs w:val="22"/>
          <w:highlight w:val="white"/>
          <w:lang w:val="ru-RU" w:eastAsia="ru-RU" w:bidi="ar-SA"/>
        </w:rPr>
        <w:t>торону</w:t>
      </w:r>
      <w:r>
        <w:rPr>
          <w:sz w:val="22"/>
          <w:szCs w:val="22"/>
          <w:highlight w:val="white"/>
        </w:rPr>
        <w:t xml:space="preserve"> от ответственности за невыполнение или ненадлежащее выполнение взятых обязательств по настоящему договору.</w:t>
      </w:r>
    </w:p>
    <w:p>
      <w:pPr>
        <w:pStyle w:val="Normal"/>
        <w:widowControl w:val="false"/>
        <w:jc w:val="both"/>
        <w:rPr/>
      </w:pPr>
      <w:r>
        <w:rPr>
          <w:sz w:val="22"/>
          <w:szCs w:val="22"/>
          <w:highlight w:val="white"/>
          <w:lang w:val="ru-RU" w:eastAsia="ar-SA"/>
        </w:rPr>
        <w:tab/>
        <w:t xml:space="preserve">8.2. Сторона, для которой надлежащее исполнение обязательств оказалось невозможным </w:t>
      </w:r>
      <w:r>
        <w:rPr>
          <w:rFonts w:eastAsia="SimSun"/>
          <w:bCs/>
          <w:color w:val="000000"/>
          <w:sz w:val="22"/>
          <w:szCs w:val="22"/>
          <w:highlight w:val="white"/>
          <w:lang w:val="ru-RU" w:eastAsia="ar-SA"/>
        </w:rPr>
        <w:t>по настоящему Договору вследствие</w:t>
      </w:r>
      <w:r>
        <w:rPr>
          <w:rFonts w:eastAsia="SimSun"/>
          <w:color w:val="000000"/>
          <w:sz w:val="22"/>
          <w:szCs w:val="22"/>
          <w:highlight w:val="white"/>
          <w:lang w:val="ru-RU" w:eastAsia="ar-SA"/>
        </w:rPr>
        <w:t xml:space="preserve"> наступления </w:t>
      </w:r>
      <w:r>
        <w:rPr>
          <w:sz w:val="22"/>
          <w:szCs w:val="22"/>
          <w:highlight w:val="white"/>
          <w:lang w:val="ru-RU" w:eastAsia="ar-SA"/>
        </w:rPr>
        <w:t xml:space="preserve">форс-мажорных обстоятельств </w:t>
      </w:r>
      <w:r>
        <w:rPr>
          <w:rFonts w:eastAsia="SimSun"/>
          <w:color w:val="000000"/>
          <w:sz w:val="22"/>
          <w:szCs w:val="22"/>
          <w:highlight w:val="white"/>
          <w:lang w:val="ru-RU" w:eastAsia="ar-SA"/>
        </w:rPr>
        <w:t>действия обстоятельств непреодолимой силы</w:t>
      </w:r>
      <w:r>
        <w:rPr>
          <w:sz w:val="22"/>
          <w:szCs w:val="22"/>
          <w:highlight w:val="white"/>
          <w:lang w:val="ru-RU" w:eastAsia="ar-SA"/>
        </w:rPr>
        <w:t xml:space="preserve"> </w:t>
      </w:r>
      <w:r>
        <w:rPr>
          <w:sz w:val="22"/>
          <w:szCs w:val="22"/>
          <w:highlight w:val="white"/>
          <w:lang w:val="ru-RU" w:eastAsia="ru-RU"/>
        </w:rPr>
        <w:t xml:space="preserve">имеет право в течение 12 часов с </w:t>
      </w:r>
      <w:r>
        <w:rPr>
          <w:sz w:val="22"/>
          <w:szCs w:val="22"/>
          <w:highlight w:val="white"/>
          <w:lang w:val="ru-RU" w:eastAsia="ar-SA"/>
        </w:rPr>
        <w:t xml:space="preserve">даты возникновения таких обстоятельств </w:t>
      </w:r>
      <w:r>
        <w:rPr>
          <w:sz w:val="22"/>
          <w:szCs w:val="22"/>
          <w:highlight w:val="white"/>
          <w:lang w:val="ru-RU" w:eastAsia="ru-RU"/>
        </w:rPr>
        <w:t xml:space="preserve">отказаться от дальнейшего выполнения взятых на себя обязательств и приостановить  действия Договора, </w:t>
      </w:r>
      <w:r>
        <w:rPr>
          <w:rFonts w:eastAsia="SimSun"/>
          <w:color w:val="000000"/>
          <w:sz w:val="22"/>
          <w:szCs w:val="22"/>
          <w:highlight w:val="white"/>
          <w:lang w:val="ru-RU" w:eastAsia="ar-SA"/>
        </w:rPr>
        <w:t>в связи с наступлением вышеуказанных обстоятельствах и их влиянии на исполнение обязательств по Договору</w:t>
      </w:r>
      <w:r>
        <w:rPr>
          <w:sz w:val="22"/>
          <w:szCs w:val="22"/>
          <w:highlight w:val="white"/>
          <w:lang w:val="ru-RU" w:eastAsia="ar-SA"/>
        </w:rPr>
        <w:t xml:space="preserve"> без требования возмещения убытков, понесенных в связи с наступлением таких обстоятельств.</w:t>
      </w:r>
    </w:p>
    <w:p>
      <w:pPr>
        <w:pStyle w:val="Normal"/>
        <w:widowControl w:val="false"/>
        <w:tabs>
          <w:tab w:val="clear" w:pos="708"/>
          <w:tab w:val="left" w:pos="0" w:leader="none"/>
        </w:tabs>
        <w:jc w:val="both"/>
        <w:rPr/>
      </w:pPr>
      <w:r>
        <w:rPr>
          <w:sz w:val="22"/>
          <w:szCs w:val="22"/>
          <w:highlight w:val="white"/>
          <w:lang w:val="ru-RU" w:eastAsia="ar-SA"/>
        </w:rPr>
        <w:tab/>
        <w:t xml:space="preserve">8.3. Если, по мнению Сторон, услуги могут быть продолжены в порядке, действовавшем согласно настоящему Договору до начала действия обстоятельств непреодолимой силы, то срок исполнения обязательств по настоящему Договору продлевается соразмерно времени, в течение которого действовали обстоятельства непреодолимой силы и их последствия, но не более чем на 1 месяца и не далее сроков действия Договора. </w:t>
      </w:r>
      <w:r>
        <w:rPr>
          <w:sz w:val="22"/>
          <w:szCs w:val="22"/>
          <w:highlight w:val="white"/>
          <w:lang w:val="ru-RU" w:eastAsia="ru-RU"/>
        </w:rPr>
        <w:t>По истечении этого срока Стороны имеют право отказаться от дальнейшего выполнения взятых на себя обязательств и расторгнуть Договор.</w:t>
      </w:r>
    </w:p>
    <w:p>
      <w:pPr>
        <w:pStyle w:val="33"/>
        <w:numPr>
          <w:ilvl w:val="0"/>
          <w:numId w:val="4"/>
        </w:numPr>
        <w:spacing w:before="0" w:after="0"/>
        <w:jc w:val="center"/>
        <w:rPr/>
      </w:pPr>
      <w:r>
        <w:rPr>
          <w:b/>
          <w:sz w:val="22"/>
          <w:szCs w:val="22"/>
        </w:rPr>
        <w:t>Д</w:t>
      </w:r>
      <w:r>
        <w:rPr>
          <w:b/>
          <w:sz w:val="22"/>
          <w:szCs w:val="22"/>
          <w:highlight w:val="white"/>
        </w:rPr>
        <w:t>ополнительные условия.</w:t>
      </w:r>
    </w:p>
    <w:p>
      <w:pPr>
        <w:pStyle w:val="Normal"/>
        <w:jc w:val="both"/>
        <w:rPr>
          <w:sz w:val="22"/>
          <w:highlight w:val="white"/>
        </w:rPr>
      </w:pPr>
      <w:r>
        <w:rPr>
          <w:sz w:val="22"/>
          <w:highlight w:val="white"/>
        </w:rPr>
        <w:tab/>
        <w:t>9.1. За ненадлежащее выполнение своих обязательств по данному договору стороны несут ответственность в соответствии с действующим законодательством РФ.</w:t>
      </w:r>
    </w:p>
    <w:p>
      <w:pPr>
        <w:pStyle w:val="Normal"/>
        <w:jc w:val="both"/>
        <w:rPr/>
      </w:pPr>
      <w:r>
        <w:rPr>
          <w:sz w:val="22"/>
          <w:highlight w:val="white"/>
        </w:rPr>
        <w:tab/>
        <w:t xml:space="preserve">9.2. </w:t>
      </w:r>
      <w:r>
        <w:rPr>
          <w:b/>
          <w:sz w:val="22"/>
          <w:highlight w:val="white"/>
        </w:rPr>
        <w:t>ОХРАНА</w:t>
      </w:r>
      <w:r>
        <w:rPr>
          <w:sz w:val="22"/>
          <w:highlight w:val="white"/>
        </w:rPr>
        <w:t xml:space="preserve"> не несет ответственности за качество охраны объекта, в случаях производства ремонтных и аварийных работ на электропитающих линиях </w:t>
      </w:r>
      <w:r>
        <w:rPr>
          <w:color w:val="000000"/>
          <w:sz w:val="22"/>
          <w:szCs w:val="22"/>
          <w:highlight w:val="white"/>
        </w:rPr>
        <w:t xml:space="preserve">и отсутствии связи по каналу </w:t>
      </w:r>
      <w:r>
        <w:rPr>
          <w:color w:val="000000"/>
          <w:sz w:val="22"/>
          <w:szCs w:val="22"/>
          <w:highlight w:val="white"/>
          <w:lang w:val="en-US"/>
        </w:rPr>
        <w:t>GSM</w:t>
      </w:r>
      <w:r>
        <w:rPr>
          <w:color w:val="000000"/>
          <w:sz w:val="22"/>
          <w:szCs w:val="22"/>
          <w:highlight w:val="white"/>
        </w:rPr>
        <w:t>/</w:t>
      </w:r>
      <w:r>
        <w:rPr>
          <w:color w:val="000000"/>
          <w:sz w:val="22"/>
          <w:szCs w:val="22"/>
          <w:highlight w:val="white"/>
          <w:lang w:val="en-US"/>
        </w:rPr>
        <w:t>GPRS</w:t>
      </w:r>
      <w:r>
        <w:rPr>
          <w:color w:val="000000"/>
          <w:sz w:val="22"/>
          <w:szCs w:val="22"/>
          <w:highlight w:val="white"/>
        </w:rPr>
        <w:t>.</w:t>
      </w:r>
    </w:p>
    <w:p>
      <w:pPr>
        <w:pStyle w:val="Normal"/>
        <w:jc w:val="both"/>
        <w:rPr/>
      </w:pPr>
      <w:r>
        <w:rPr>
          <w:sz w:val="22"/>
          <w:highlight w:val="white"/>
        </w:rPr>
        <w:tab/>
        <w:t xml:space="preserve">9.3. В случае неисполнения </w:t>
      </w:r>
      <w:r>
        <w:rPr>
          <w:b/>
          <w:sz w:val="22"/>
          <w:highlight w:val="white"/>
        </w:rPr>
        <w:t>КЛИЕНТОМ</w:t>
      </w:r>
      <w:r>
        <w:rPr>
          <w:sz w:val="22"/>
          <w:highlight w:val="white"/>
        </w:rPr>
        <w:t xml:space="preserve"> условий настоящего договора, </w:t>
      </w:r>
      <w:r>
        <w:rPr>
          <w:b/>
          <w:sz w:val="22"/>
          <w:highlight w:val="white"/>
        </w:rPr>
        <w:t>ОХРАНА</w:t>
      </w:r>
      <w:r>
        <w:rPr>
          <w:sz w:val="22"/>
          <w:highlight w:val="white"/>
        </w:rPr>
        <w:t xml:space="preserve"> вправе прекратить исполнение своих обязательств по договору. После письменного уведомления </w:t>
      </w:r>
      <w:r>
        <w:rPr>
          <w:b/>
          <w:sz w:val="22"/>
          <w:highlight w:val="white"/>
        </w:rPr>
        <w:t>ОХРАНОЙ КЛИЕНТА</w:t>
      </w:r>
      <w:r>
        <w:rPr>
          <w:sz w:val="22"/>
          <w:highlight w:val="white"/>
        </w:rPr>
        <w:t xml:space="preserve"> о прекращении исполнения обязательств, настоящий договор считается приостановленным или расторгнутым.</w:t>
      </w:r>
    </w:p>
    <w:p>
      <w:pPr>
        <w:pStyle w:val="Normal"/>
        <w:jc w:val="both"/>
        <w:rPr/>
      </w:pPr>
      <w:r>
        <w:rPr>
          <w:sz w:val="22"/>
          <w:highlight w:val="white"/>
        </w:rPr>
        <w:tab/>
        <w:t xml:space="preserve">9.4. </w:t>
      </w:r>
      <w:r>
        <w:rPr>
          <w:b/>
          <w:sz w:val="22"/>
          <w:highlight w:val="white"/>
        </w:rPr>
        <w:t>ОХРАНА</w:t>
      </w:r>
      <w:r>
        <w:rPr>
          <w:sz w:val="22"/>
          <w:highlight w:val="white"/>
        </w:rPr>
        <w:t xml:space="preserve"> вправе временно приостановить предоставлени</w:t>
      </w:r>
      <w:r>
        <w:rPr>
          <w:sz w:val="22"/>
        </w:rPr>
        <w:t xml:space="preserve">е услуг по настоящему договору, уведомив об этом </w:t>
      </w:r>
      <w:r>
        <w:rPr>
          <w:b/>
          <w:sz w:val="22"/>
        </w:rPr>
        <w:t>КЛИЕНТА</w:t>
      </w:r>
      <w:r>
        <w:rPr>
          <w:sz w:val="22"/>
        </w:rPr>
        <w:t xml:space="preserve"> в срок не менее чем за 3 дня, в случае возникновения спора о праве собственности и управления имуществом, находящимся во владении </w:t>
      </w:r>
      <w:r>
        <w:rPr>
          <w:b/>
          <w:sz w:val="22"/>
        </w:rPr>
        <w:t>КЛИЕНТА</w:t>
      </w:r>
      <w:r>
        <w:rPr>
          <w:sz w:val="22"/>
        </w:rPr>
        <w:t xml:space="preserve"> и являющимся объектом охраны, до момента разрешения спора в предусмотренном законом порядке.</w:t>
      </w:r>
    </w:p>
    <w:p>
      <w:pPr>
        <w:pStyle w:val="Normal"/>
        <w:jc w:val="both"/>
        <w:rPr/>
      </w:pPr>
      <w:r>
        <w:rPr>
          <w:sz w:val="22"/>
        </w:rPr>
        <w:tab/>
        <w:t xml:space="preserve">9.5.  </w:t>
      </w:r>
      <w:r>
        <w:rPr>
          <w:b/>
          <w:sz w:val="22"/>
        </w:rPr>
        <w:t xml:space="preserve">ОХРАНА </w:t>
      </w:r>
      <w:r>
        <w:rPr>
          <w:sz w:val="22"/>
        </w:rPr>
        <w:t>в праве приостановить</w:t>
      </w:r>
      <w:r>
        <w:rPr>
          <w:color w:val="000000"/>
          <w:sz w:val="22"/>
        </w:rPr>
        <w:t xml:space="preserve"> либо расторгнуть </w:t>
      </w:r>
      <w:r>
        <w:rPr>
          <w:sz w:val="22"/>
        </w:rPr>
        <w:t>действие настоящего договора, уведомив об это</w:t>
      </w:r>
      <w:r>
        <w:rPr>
          <w:sz w:val="22"/>
          <w:highlight w:val="white"/>
        </w:rPr>
        <w:t xml:space="preserve">м </w:t>
      </w:r>
      <w:r>
        <w:rPr>
          <w:b/>
          <w:sz w:val="22"/>
          <w:highlight w:val="white"/>
        </w:rPr>
        <w:t xml:space="preserve">КЛИЕНТА </w:t>
      </w:r>
      <w:r>
        <w:rPr>
          <w:sz w:val="22"/>
          <w:highlight w:val="white"/>
        </w:rPr>
        <w:t xml:space="preserve">в срок не менее чем за 3 дня, в случае не обеспечения </w:t>
      </w:r>
      <w:r>
        <w:rPr>
          <w:b/>
          <w:sz w:val="22"/>
          <w:highlight w:val="white"/>
        </w:rPr>
        <w:t xml:space="preserve">КЛИЕНТОМ </w:t>
      </w:r>
      <w:r>
        <w:rPr>
          <w:sz w:val="22"/>
          <w:highlight w:val="white"/>
        </w:rPr>
        <w:t>эксплуатационного обслуживания СТС обслуживающей организацией.</w:t>
      </w:r>
    </w:p>
    <w:p>
      <w:pPr>
        <w:pStyle w:val="Normal"/>
        <w:spacing w:before="0" w:after="0"/>
        <w:ind w:firstLine="360" w:end="0"/>
        <w:jc w:val="both"/>
        <w:rPr/>
      </w:pPr>
      <w:r>
        <w:rPr>
          <w:color w:val="FF0000"/>
          <w:sz w:val="22"/>
          <w:szCs w:val="22"/>
          <w:highlight w:val="white"/>
        </w:rPr>
        <w:tab/>
      </w:r>
      <w:r>
        <w:rPr>
          <w:color w:val="000000"/>
          <w:sz w:val="22"/>
          <w:szCs w:val="22"/>
          <w:highlight w:val="white"/>
        </w:rPr>
        <w:t>9.6. До передачи спора на разрешение Арбитражного суда Астраханской области, Стороны примут меры к его урегулированию в претензионном порядке. Претензия должна быть направлена в письменном виде. По получении претензии получившая ее Сторона должна дать письменный ответ по существу соответствующей претензии в срок не позднее 10 (Десяти) календарных дней с момента даты ее получения, в т.ч. по своевременной и полной оплате по настоящему договору. По истечению данного срока Сторона, направившая претензию, вправе обратиться за защитой своих прав в Арбитражный суд Астраханской области.</w:t>
      </w:r>
    </w:p>
    <w:p>
      <w:pPr>
        <w:pStyle w:val="34"/>
        <w:numPr>
          <w:ilvl w:val="0"/>
          <w:numId w:val="4"/>
        </w:numPr>
        <w:spacing w:before="0" w:after="0"/>
        <w:jc w:val="center"/>
        <w:rPr/>
      </w:pPr>
      <w:r>
        <w:rPr>
          <w:b/>
          <w:sz w:val="22"/>
          <w:szCs w:val="22"/>
        </w:rPr>
        <w:t>Срок действия договора и основания изменения и расторжения договора</w:t>
      </w:r>
    </w:p>
    <w:p>
      <w:pPr>
        <w:pStyle w:val="34"/>
        <w:spacing w:before="0" w:after="0"/>
        <w:rPr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34"/>
        <w:spacing w:before="0" w:after="0"/>
        <w:jc w:val="both"/>
        <w:rPr/>
      </w:pPr>
      <w:r>
        <w:rPr>
          <w:sz w:val="22"/>
          <w:szCs w:val="22"/>
        </w:rPr>
        <w:t xml:space="preserve">   </w:t>
      </w:r>
      <w:r>
        <w:rPr>
          <w:sz w:val="22"/>
          <w:szCs w:val="22"/>
        </w:rPr>
        <w:t xml:space="preserve">10.1. Настоящий договор вступает в силу с момента его подписания уполномоченными представителями сторон и действует </w:t>
      </w:r>
      <w:r>
        <w:rPr>
          <w:color w:val="FF0000"/>
          <w:sz w:val="22"/>
          <w:szCs w:val="22"/>
        </w:rPr>
        <w:t>с 01 января  201  года  по 31 декабря  201  года.</w:t>
      </w:r>
      <w:r>
        <w:rPr>
          <w:sz w:val="22"/>
          <w:szCs w:val="22"/>
        </w:rPr>
        <w:t xml:space="preserve"> Если за один месяц до истечения срока действия договора ни одна из сторон не потребует в письменной форме его прекращения или изменения, договор признаётся продлённым на прежних условиях на каждый последующий год.</w:t>
      </w:r>
    </w:p>
    <w:p>
      <w:pPr>
        <w:pStyle w:val="33"/>
        <w:spacing w:before="0" w:after="0"/>
        <w:ind w:firstLine="360" w:start="0" w:end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10.2. Вносимые изменения дополнения в договор, а также в приложения к договору рассматриваются сторонами в 10дневный срок и оформляются дополнительным соглашением. </w:t>
      </w:r>
    </w:p>
    <w:p>
      <w:pPr>
        <w:pStyle w:val="33"/>
        <w:spacing w:before="0" w:after="0"/>
        <w:ind w:firstLine="360" w:start="0" w:end="0"/>
        <w:jc w:val="both"/>
        <w:rPr>
          <w:sz w:val="22"/>
          <w:szCs w:val="22"/>
        </w:rPr>
      </w:pPr>
      <w:r>
        <w:rPr>
          <w:sz w:val="22"/>
          <w:szCs w:val="22"/>
        </w:rPr>
        <w:t>10.3. Расторжение договора до истечения срока его действия возможны по соглашению сторон, при этом заинтересованная сторона обязана письменно предупредить другую сторону не менее чем за 1 месяц.</w:t>
      </w:r>
    </w:p>
    <w:p>
      <w:pPr>
        <w:pStyle w:val="33"/>
        <w:spacing w:before="0" w:after="0"/>
        <w:ind w:firstLine="360" w:start="0" w:end="0"/>
        <w:jc w:val="both"/>
        <w:rPr>
          <w:sz w:val="22"/>
          <w:szCs w:val="22"/>
        </w:rPr>
      </w:pPr>
      <w:r>
        <w:rPr>
          <w:sz w:val="22"/>
          <w:szCs w:val="22"/>
        </w:rPr>
        <w:t>10.4. По всем вопросам, не урегулированным настоящим договором, стороны руководствуются действующим законодательством Российской Федерации.  Все споры между сторонами, по которым не было достигнуто соглашения, разрешается в соответствии законодательства Российской Федерации в Арбитражном суде.</w:t>
      </w:r>
    </w:p>
    <w:p>
      <w:pPr>
        <w:pStyle w:val="BodyTextIndent"/>
        <w:ind w:firstLine="360" w:start="0" w:end="0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t>10.5. Договор с приложением составлен в двух экземплярах один находится у ОХРАНЫ, второй у КЛИЕНТА</w:t>
      </w:r>
    </w:p>
    <w:p>
      <w:pPr>
        <w:pStyle w:val="Normal"/>
        <w:rPr>
          <w:b/>
          <w:sz w:val="22"/>
          <w:szCs w:val="22"/>
        </w:rPr>
      </w:pPr>
      <w:r>
        <w:rPr>
          <w:b/>
          <w:sz w:val="22"/>
          <w:szCs w:val="22"/>
        </w:rPr>
        <w:t>ПРИЛОЖЕНИЯ: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 xml:space="preserve">1. Приложение № 1 «Перечень услуг охраны» 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2. Приложение № 2 «Инструкция о порядке пользования средств тревожной сигнализацией</w:t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Вышеперечисленные приложения являются неотъемлемой частью настоящего договора. </w:t>
      </w:r>
    </w:p>
    <w:p>
      <w:pPr>
        <w:pStyle w:val="BodyTextIndent"/>
        <w:numPr>
          <w:ilvl w:val="0"/>
          <w:numId w:val="4"/>
        </w:numPr>
        <w:jc w:val="center"/>
        <w:rPr/>
      </w:pPr>
      <w:r>
        <w:rPr>
          <w:b/>
          <w:bCs/>
          <w:sz w:val="22"/>
          <w:szCs w:val="22"/>
        </w:rPr>
        <w:t xml:space="preserve"> </w:t>
      </w:r>
      <w:r>
        <w:rPr>
          <w:b/>
          <w:bCs/>
        </w:rPr>
        <w:t>ЮРИДИЧЕСКИЕ АДРЕСА СТОРОН И БАНКОВСКИЕ РЕКВИЗИТЫ</w:t>
      </w:r>
    </w:p>
    <w:tbl>
      <w:tblPr>
        <w:tblW w:w="9407" w:type="dxa"/>
        <w:jc w:val="center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</w:tblPr>
      <w:tblGrid>
        <w:gridCol w:w="1375"/>
        <w:gridCol w:w="3543"/>
        <w:gridCol w:w="1134"/>
        <w:gridCol w:w="3355"/>
      </w:tblGrid>
      <w:tr>
        <w:trPr/>
        <w:tc>
          <w:tcPr>
            <w:tcW w:w="491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b/>
              </w:rPr>
            </w:pPr>
            <w:r>
              <w:rPr>
                <w:b/>
              </w:rPr>
              <w:t xml:space="preserve">ОХРАНА: </w:t>
            </w:r>
          </w:p>
        </w:tc>
        <w:tc>
          <w:tcPr>
            <w:tcW w:w="448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rPr/>
            </w:pPr>
            <w:r>
              <w:rPr>
                <w:b/>
              </w:rPr>
              <w:t>КЛИЕНТ</w:t>
            </w:r>
            <w:r>
              <w:rPr/>
              <w:t xml:space="preserve">: </w:t>
            </w:r>
          </w:p>
        </w:tc>
      </w:tr>
      <w:tr>
        <w:trPr/>
        <w:tc>
          <w:tcPr>
            <w:tcW w:w="13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Юр.Адрес</w:t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  <w:t>Факт. адрес</w:t>
            </w:r>
          </w:p>
        </w:tc>
        <w:tc>
          <w:tcPr>
            <w:tcW w:w="354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13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Юр.Адрес</w:t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  <w:t xml:space="preserve">Факт. </w:t>
            </w:r>
          </w:p>
          <w:p>
            <w:pPr>
              <w:pStyle w:val="Normal"/>
              <w:rPr/>
            </w:pPr>
            <w:r>
              <w:rPr/>
              <w:t>адрес</w:t>
            </w:r>
          </w:p>
        </w:tc>
        <w:tc>
          <w:tcPr>
            <w:tcW w:w="335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</w:tc>
      </w:tr>
      <w:tr>
        <w:trPr>
          <w:trHeight w:val="97" w:hRule="atLeast"/>
        </w:trPr>
        <w:tc>
          <w:tcPr>
            <w:tcW w:w="13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Телефон</w:t>
            </w:r>
          </w:p>
        </w:tc>
        <w:tc>
          <w:tcPr>
            <w:tcW w:w="354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1"/>
              <w:bidi w:val="0"/>
              <w:snapToGrid w:val="false"/>
              <w:jc w:val="start"/>
              <w:rPr>
                <w:szCs w:val="22"/>
              </w:rPr>
            </w:pPr>
            <w:r>
              <w:rPr>
                <w:szCs w:val="22"/>
              </w:rPr>
            </w:r>
          </w:p>
        </w:tc>
        <w:tc>
          <w:tcPr>
            <w:tcW w:w="113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Телефон</w:t>
            </w:r>
          </w:p>
        </w:tc>
        <w:tc>
          <w:tcPr>
            <w:tcW w:w="335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/>
        <w:tc>
          <w:tcPr>
            <w:tcW w:w="13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Факс</w:t>
            </w:r>
          </w:p>
        </w:tc>
        <w:tc>
          <w:tcPr>
            <w:tcW w:w="354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1"/>
              <w:bidi w:val="0"/>
              <w:snapToGrid w:val="false"/>
              <w:jc w:val="start"/>
              <w:rPr>
                <w:szCs w:val="22"/>
              </w:rPr>
            </w:pPr>
            <w:r>
              <w:rPr>
                <w:szCs w:val="22"/>
              </w:rPr>
            </w:r>
          </w:p>
        </w:tc>
        <w:tc>
          <w:tcPr>
            <w:tcW w:w="113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Факс</w:t>
            </w:r>
          </w:p>
        </w:tc>
        <w:tc>
          <w:tcPr>
            <w:tcW w:w="335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/>
        <w:tc>
          <w:tcPr>
            <w:tcW w:w="13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Эл. Адрес</w:t>
            </w:r>
          </w:p>
        </w:tc>
        <w:tc>
          <w:tcPr>
            <w:tcW w:w="354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1"/>
              <w:bidi w:val="0"/>
              <w:snapToGrid w:val="false"/>
              <w:jc w:val="start"/>
              <w:rPr>
                <w:szCs w:val="22"/>
              </w:rPr>
            </w:pPr>
            <w:r>
              <w:rPr>
                <w:szCs w:val="22"/>
              </w:rPr>
            </w:r>
          </w:p>
        </w:tc>
        <w:tc>
          <w:tcPr>
            <w:tcW w:w="113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Эл. Адрес</w:t>
            </w:r>
          </w:p>
        </w:tc>
        <w:tc>
          <w:tcPr>
            <w:tcW w:w="335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/>
        <w:tc>
          <w:tcPr>
            <w:tcW w:w="13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ИНН</w:t>
            </w:r>
          </w:p>
        </w:tc>
        <w:tc>
          <w:tcPr>
            <w:tcW w:w="354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13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ИНН</w:t>
            </w:r>
          </w:p>
        </w:tc>
        <w:tc>
          <w:tcPr>
            <w:tcW w:w="335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trHeight w:val="2793" w:hRule="atLeast"/>
        </w:trPr>
        <w:tc>
          <w:tcPr>
            <w:tcW w:w="13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Реквизи-ты для перечисления</w:t>
            </w:r>
          </w:p>
        </w:tc>
        <w:tc>
          <w:tcPr>
            <w:tcW w:w="354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</w:tc>
        <w:tc>
          <w:tcPr>
            <w:tcW w:w="113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Реквизиты</w:t>
            </w:r>
          </w:p>
        </w:tc>
        <w:tc>
          <w:tcPr>
            <w:tcW w:w="335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</w:tbl>
    <w:p>
      <w:pPr>
        <w:pStyle w:val="Normal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</w:r>
    </w:p>
    <w:tbl>
      <w:tblPr>
        <w:tblW w:w="9300" w:type="dxa"/>
        <w:jc w:val="center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</w:tblPr>
      <w:tblGrid>
        <w:gridCol w:w="5478"/>
        <w:gridCol w:w="3822"/>
      </w:tblGrid>
      <w:tr>
        <w:trPr/>
        <w:tc>
          <w:tcPr>
            <w:tcW w:w="5478" w:type="dxa"/>
            <w:tcBorders/>
          </w:tcPr>
          <w:p>
            <w:pPr>
              <w:pStyle w:val="Normal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ОХРАНА</w:t>
            </w:r>
          </w:p>
        </w:tc>
        <w:tc>
          <w:tcPr>
            <w:tcW w:w="3822" w:type="dxa"/>
            <w:tcBorders/>
          </w:tcPr>
          <w:p>
            <w:pPr>
              <w:pStyle w:val="Normal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КЛИЕНТ</w:t>
            </w:r>
          </w:p>
          <w:p>
            <w:pPr>
              <w:pStyle w:val="Normal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/>
        <w:tc>
          <w:tcPr>
            <w:tcW w:w="5478" w:type="dxa"/>
            <w:tcBorders/>
          </w:tcPr>
          <w:p>
            <w:pPr>
              <w:pStyle w:val="Normal"/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  <w:u w:val="single"/>
              </w:rPr>
              <w:t>______________/______________/</w:t>
            </w:r>
          </w:p>
        </w:tc>
        <w:tc>
          <w:tcPr>
            <w:tcW w:w="3822" w:type="dxa"/>
            <w:tcBorders/>
          </w:tcPr>
          <w:p>
            <w:pPr>
              <w:pStyle w:val="Normal"/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  <w:u w:val="single"/>
              </w:rPr>
              <w:t>______________/_______________/</w:t>
            </w:r>
          </w:p>
          <w:p>
            <w:pPr>
              <w:pStyle w:val="Normal"/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  <w:u w:val="single"/>
              </w:rPr>
            </w:r>
          </w:p>
        </w:tc>
      </w:tr>
      <w:tr>
        <w:trPr/>
        <w:tc>
          <w:tcPr>
            <w:tcW w:w="5478" w:type="dxa"/>
            <w:tcBorders/>
          </w:tcPr>
          <w:p>
            <w:pPr>
              <w:pStyle w:val="Norm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«_______»_______________201 г.</w:t>
            </w:r>
          </w:p>
        </w:tc>
        <w:tc>
          <w:tcPr>
            <w:tcW w:w="3822" w:type="dxa"/>
            <w:tcBorders/>
          </w:tcPr>
          <w:p>
            <w:pPr>
              <w:pStyle w:val="Norm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«_______»_________________201 г.</w:t>
            </w:r>
          </w:p>
        </w:tc>
      </w:tr>
      <w:tr>
        <w:trPr/>
        <w:tc>
          <w:tcPr>
            <w:tcW w:w="5478" w:type="dxa"/>
            <w:tcBorders/>
          </w:tcPr>
          <w:p>
            <w:pPr>
              <w:pStyle w:val="Normal"/>
              <w:snapToGrid w:val="false"/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  <w:u w:val="single"/>
              </w:rPr>
            </w:r>
          </w:p>
        </w:tc>
        <w:tc>
          <w:tcPr>
            <w:tcW w:w="3822" w:type="dxa"/>
            <w:tcBorders/>
          </w:tcPr>
          <w:p>
            <w:pPr>
              <w:pStyle w:val="Normal"/>
              <w:snapToGrid w:val="false"/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  <w:u w:val="single"/>
              </w:rPr>
            </w:r>
          </w:p>
        </w:tc>
      </w:tr>
      <w:tr>
        <w:trPr/>
        <w:tc>
          <w:tcPr>
            <w:tcW w:w="5478" w:type="dxa"/>
            <w:tcBorders/>
          </w:tcPr>
          <w:p>
            <w:pPr>
              <w:pStyle w:val="Norm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м.п.</w:t>
            </w:r>
          </w:p>
        </w:tc>
        <w:tc>
          <w:tcPr>
            <w:tcW w:w="3822" w:type="dxa"/>
            <w:tcBorders/>
          </w:tcPr>
          <w:p>
            <w:pPr>
              <w:pStyle w:val="Norm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м.п.</w:t>
            </w:r>
          </w:p>
        </w:tc>
      </w:tr>
    </w:tbl>
    <w:p>
      <w:pPr>
        <w:pStyle w:val="Normal"/>
        <w:jc w:val="end"/>
        <w:rPr>
          <w:sz w:val="20"/>
          <w:szCs w:val="20"/>
        </w:rPr>
      </w:pPr>
      <w:r>
        <w:rPr>
          <w:sz w:val="20"/>
          <w:szCs w:val="20"/>
        </w:rPr>
        <w:t xml:space="preserve">Приложение № 2 к договору </w:t>
      </w:r>
    </w:p>
    <w:p>
      <w:pPr>
        <w:pStyle w:val="Normal"/>
        <w:jc w:val="end"/>
        <w:rPr/>
      </w:pPr>
      <w:r>
        <w:rPr>
          <w:sz w:val="21"/>
          <w:szCs w:val="21"/>
        </w:rPr>
        <w:t xml:space="preserve">                                                                         № </w:t>
      </w:r>
      <w:r>
        <w:rPr>
          <w:sz w:val="21"/>
          <w:szCs w:val="21"/>
        </w:rPr>
        <w:t>____</w:t>
      </w:r>
      <w:r>
        <w:rPr>
          <w:b/>
          <w:sz w:val="21"/>
          <w:szCs w:val="21"/>
          <w:u w:val="single"/>
        </w:rPr>
        <w:t>/</w:t>
      </w:r>
      <w:r>
        <w:rPr>
          <w:sz w:val="21"/>
          <w:szCs w:val="21"/>
          <w:u w:val="single"/>
        </w:rPr>
        <w:t>Т -GSM</w:t>
      </w:r>
      <w:r>
        <w:rPr>
          <w:sz w:val="20"/>
          <w:szCs w:val="20"/>
        </w:rPr>
        <w:t xml:space="preserve"> от «___» _________ 2024 г.</w:t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Инструкция</w:t>
      </w:r>
    </w:p>
    <w:p>
      <w:pPr>
        <w:pStyle w:val="Normal"/>
        <w:jc w:val="center"/>
        <w:rPr/>
      </w:pPr>
      <w:r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По правилам использования средств тревожной сигнализации  </w:t>
      </w:r>
    </w:p>
    <w:p>
      <w:pPr>
        <w:pStyle w:val="Normal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(кнопки экстренного вызова</w:t>
      </w:r>
    </w:p>
    <w:p>
      <w:pPr>
        <w:pStyle w:val="Normal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наряда (КЭВН)</w:t>
      </w:r>
    </w:p>
    <w:p>
      <w:pPr>
        <w:pStyle w:val="Normal"/>
        <w:ind w:firstLine="851" w:end="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</w:r>
    </w:p>
    <w:p>
      <w:pPr>
        <w:pStyle w:val="Normal"/>
        <w:ind w:firstLine="851" w:end="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1. Общие положения.</w:t>
      </w:r>
    </w:p>
    <w:p>
      <w:pPr>
        <w:pStyle w:val="Normal"/>
        <w:ind w:firstLine="851" w:end="0"/>
        <w:jc w:val="both"/>
        <w:rPr>
          <w:sz w:val="20"/>
          <w:szCs w:val="20"/>
        </w:rPr>
      </w:pPr>
      <w:r>
        <w:rPr>
          <w:sz w:val="20"/>
          <w:szCs w:val="20"/>
        </w:rPr>
        <w:t>1.1.При заключении договора на экстренный вызов наряда войск национальной гвардии собственник (руководитель организации, учреждения, ответственный квартиросъемщик и т.д.) обучает и ознакамливает под роспись всех пользователей КЭВН с требованиями настоящей инструкции, в том числе при смене персонала. Один экземпляр Инструкции хранится у собственника, второй направляется в подразделение вневедомственной охраны вместе с подписанным договором.</w:t>
      </w:r>
    </w:p>
    <w:p>
      <w:pPr>
        <w:pStyle w:val="Normal"/>
        <w:ind w:firstLine="851" w:end="0"/>
        <w:jc w:val="both"/>
        <w:rPr>
          <w:sz w:val="20"/>
          <w:szCs w:val="20"/>
        </w:rPr>
      </w:pPr>
      <w:r>
        <w:rPr>
          <w:sz w:val="20"/>
          <w:szCs w:val="20"/>
        </w:rPr>
        <w:t>1.2. Собственник вправе потребовать от электромонтера обслуживающей, производившей монтаж средств тревожной сигнализации произвести первичный инструктаж по пользованию КЭВН, с составлением письменной ведомости инструктажа. В дальнейшем собственник вправе требовать проведения вводных инструктажей, например, при поступлении на работу новых сотрудников и целевых инструктажей при замене или модификации системы сигнализации.</w:t>
      </w:r>
    </w:p>
    <w:p>
      <w:pPr>
        <w:pStyle w:val="Normal"/>
        <w:ind w:firstLine="851" w:end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1.3. КЭВН контролируется пультом  централизованного наблюдения(ПЦН) охраны только в указанное в договоре время. В остальных случаях при возникновении нештатных ситуаций необходимо звонить в дежурные части УВД по Астраханской области или районные органы внутренних дел. </w:t>
      </w:r>
    </w:p>
    <w:p>
      <w:pPr>
        <w:pStyle w:val="Normal"/>
        <w:ind w:firstLine="851" w:end="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2. Порядок использования КЭВН.</w:t>
      </w:r>
    </w:p>
    <w:p>
      <w:pPr>
        <w:pStyle w:val="Normal"/>
        <w:ind w:firstLine="851" w:end="0"/>
        <w:jc w:val="both"/>
        <w:rPr>
          <w:sz w:val="20"/>
          <w:szCs w:val="20"/>
        </w:rPr>
      </w:pPr>
      <w:r>
        <w:rPr>
          <w:sz w:val="20"/>
          <w:szCs w:val="20"/>
        </w:rPr>
        <w:t>2.1. При наступлении договорного времени работы КЭВН материально-ответственное лицо обязано проверить работоспособность КЭВН, для чего:</w:t>
      </w:r>
    </w:p>
    <w:p>
      <w:pPr>
        <w:pStyle w:val="Normal"/>
        <w:ind w:firstLine="851" w:end="0"/>
        <w:jc w:val="both"/>
        <w:rPr>
          <w:sz w:val="20"/>
          <w:szCs w:val="20"/>
        </w:rPr>
      </w:pPr>
      <w:r>
        <w:rPr>
          <w:sz w:val="20"/>
          <w:szCs w:val="20"/>
        </w:rPr>
        <w:t>2.1.1. Позвонить на ПЦН и сообщить дежурному пульта управления о необходимости проверки работоспособности КЭВН, сообщив пультовой номер (код) объекта (квартиры) и свою фамилию.</w:t>
      </w:r>
    </w:p>
    <w:p>
      <w:pPr>
        <w:pStyle w:val="Normal"/>
        <w:ind w:firstLine="851" w:end="0"/>
        <w:jc w:val="both"/>
        <w:rPr>
          <w:sz w:val="20"/>
          <w:szCs w:val="20"/>
        </w:rPr>
      </w:pPr>
      <w:r>
        <w:rPr>
          <w:sz w:val="20"/>
          <w:szCs w:val="20"/>
        </w:rPr>
        <w:t>2.1.2. По согласованию с дежурным ПЦН нажать кнопку (педаль) тревожной сигнализации, не прерывая связь с ПЦН.</w:t>
      </w:r>
    </w:p>
    <w:p>
      <w:pPr>
        <w:pStyle w:val="Normal"/>
        <w:ind w:firstLine="851" w:end="0"/>
        <w:jc w:val="both"/>
        <w:rPr>
          <w:sz w:val="20"/>
          <w:szCs w:val="20"/>
        </w:rPr>
      </w:pPr>
      <w:r>
        <w:rPr>
          <w:sz w:val="20"/>
          <w:szCs w:val="20"/>
        </w:rPr>
        <w:t>2.1.3.  После сообщения дежурным  ПЦН о срабатывании сигнализации поставить КЭВН на охрану по телефону либо путем прикладывания ключа TOUCH MEMORY в гнездо считывающего устройства.</w:t>
      </w:r>
    </w:p>
    <w:p>
      <w:pPr>
        <w:pStyle w:val="Normal"/>
        <w:ind w:firstLine="851" w:end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2.2. При круглосуточном использовании тревожной сигнализации проверка должна проводиться раз в сутки согласно п.п. 2.1.1 – 2.1.3 настоящей инструкции.   </w:t>
      </w:r>
    </w:p>
    <w:p>
      <w:pPr>
        <w:pStyle w:val="Normal"/>
        <w:ind w:firstLine="851" w:end="0"/>
        <w:jc w:val="both"/>
        <w:rPr>
          <w:sz w:val="20"/>
          <w:szCs w:val="20"/>
        </w:rPr>
      </w:pPr>
      <w:r>
        <w:rPr>
          <w:sz w:val="20"/>
          <w:szCs w:val="20"/>
        </w:rPr>
        <w:t>2.3. Тревожное извещение подается собственником при попытках несанкционированного проникновения на объект или квартиру, разбойного нападения, грабежа, кражи, при появлении на охраняемой территории подозрительных лиц, лиц в алкогольном или наркотическом опьянении агрессивно себя ведущих, а также в других экстремальных ситуациях.</w:t>
      </w:r>
    </w:p>
    <w:p>
      <w:pPr>
        <w:pStyle w:val="Normal"/>
        <w:ind w:firstLine="851" w:end="0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2.4. Тревожная кнопка КЭВН  должна быть нажата незаметно для окружающих, по возможности перед или во время возникновения вышеуказанных ситуаций.</w:t>
      </w:r>
    </w:p>
    <w:p>
      <w:pPr>
        <w:pStyle w:val="Normal"/>
        <w:ind w:firstLine="851" w:end="0"/>
        <w:jc w:val="both"/>
        <w:rPr>
          <w:b/>
          <w:sz w:val="22"/>
          <w:szCs w:val="22"/>
          <w:highlight w:val="white"/>
        </w:rPr>
      </w:pPr>
      <w:r>
        <w:rPr>
          <w:b/>
          <w:sz w:val="22"/>
          <w:szCs w:val="22"/>
          <w:highlight w:val="white"/>
        </w:rPr>
        <w:t>3. Обязанности.</w:t>
      </w:r>
    </w:p>
    <w:p>
      <w:pPr>
        <w:pStyle w:val="Normal"/>
        <w:ind w:firstLine="851" w:end="0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 xml:space="preserve">3.1. Собственник или материально ответственное лицо обязан в охраняемое время, по просьбе сотрудника вневедомственной охраны включить КЭВН для проведения учебно-тактических тренировок.  </w:t>
      </w:r>
    </w:p>
    <w:p>
      <w:pPr>
        <w:pStyle w:val="Normal"/>
        <w:ind w:firstLine="851" w:end="0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3.2. Собственник или материально ответственное лицо обязан в охраняемое время допустить сотрудника обслуживающей организации  для проведения регламентных или ремонтных работ с уведомлением дежурного ПЦН</w:t>
      </w:r>
    </w:p>
    <w:p>
      <w:pPr>
        <w:pStyle w:val="Normal"/>
        <w:ind w:firstLine="851" w:end="0"/>
        <w:jc w:val="both"/>
        <w:rPr>
          <w:sz w:val="20"/>
          <w:szCs w:val="20"/>
        </w:rPr>
      </w:pPr>
      <w:r>
        <w:rPr>
          <w:sz w:val="20"/>
          <w:szCs w:val="20"/>
        </w:rPr>
        <w:t>3.3. При наличии на объектах радиосистемы тревожной сигнализации, в целях своевременной подачи сигнала «тревоги» необходимо в рабочее время постоянно иметь при себе радиобрелок тревожной сигнализации.</w:t>
      </w:r>
    </w:p>
    <w:p>
      <w:pPr>
        <w:pStyle w:val="Normal"/>
        <w:ind w:firstLine="851" w:end="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4. Запрещается.</w:t>
      </w:r>
    </w:p>
    <w:p>
      <w:pPr>
        <w:pStyle w:val="Normal"/>
        <w:ind w:firstLine="851" w:end="0"/>
        <w:jc w:val="both"/>
        <w:rPr>
          <w:sz w:val="20"/>
          <w:szCs w:val="20"/>
        </w:rPr>
      </w:pPr>
      <w:r>
        <w:rPr>
          <w:sz w:val="20"/>
          <w:szCs w:val="20"/>
        </w:rPr>
        <w:t>4.1. Самостоятельно включать тревожную сигнализацию для проверки действий наряда войск национальной</w:t>
        <w:tab/>
        <w:t xml:space="preserve"> гвардии вневедомственной охраны (кроме случаев, предусмотренных п.п. 2 и 3.1).</w:t>
      </w:r>
    </w:p>
    <w:p>
      <w:pPr>
        <w:pStyle w:val="Normal"/>
        <w:ind w:firstLine="851" w:end="0"/>
        <w:jc w:val="both"/>
        <w:rPr>
          <w:sz w:val="20"/>
          <w:szCs w:val="20"/>
        </w:rPr>
      </w:pPr>
      <w:r>
        <w:rPr>
          <w:sz w:val="20"/>
          <w:szCs w:val="20"/>
        </w:rPr>
        <w:t>4.2. Использовать тревожную сигнализацию для передачи корреспонденции (договоров, счетов, писем и т.д.).</w:t>
      </w:r>
    </w:p>
    <w:p>
      <w:pPr>
        <w:pStyle w:val="Normal"/>
        <w:ind w:firstLine="851" w:end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4.3. Хранить радиобрелоки тревожной сигнализации в сейфах, кассовых аппаратах, подсобных помещениях и т.д. </w:t>
      </w:r>
    </w:p>
    <w:p>
      <w:pPr>
        <w:pStyle w:val="Normal"/>
        <w:ind w:firstLine="851" w:end="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</w:r>
    </w:p>
    <w:p>
      <w:pPr>
        <w:pStyle w:val="Normal"/>
        <w:ind w:firstLine="851" w:end="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</w:r>
    </w:p>
    <w:p>
      <w:pPr>
        <w:pStyle w:val="Normal"/>
        <w:spacing w:before="0" w:after="120"/>
        <w:ind w:firstLine="851" w:end="0"/>
        <w:jc w:val="both"/>
        <w:rPr/>
      </w:pPr>
      <w:r>
        <w:rPr>
          <w:b/>
          <w:sz w:val="20"/>
          <w:szCs w:val="20"/>
        </w:rPr>
        <w:t>КЛИЕНТ ОЗНАКОМЛЕН</w:t>
      </w:r>
      <w:r>
        <w:rPr>
          <w:sz w:val="20"/>
          <w:szCs w:val="20"/>
        </w:rPr>
        <w:t xml:space="preserve">    ____________      ______________</w:t>
      </w:r>
    </w:p>
    <w:sectPr>
      <w:headerReference w:type="default" r:id="rId2"/>
      <w:headerReference w:type="first" r:id="rId3"/>
      <w:type w:val="nextPage"/>
      <w:pgSz w:w="11906" w:h="16838"/>
      <w:pgMar w:left="1418" w:right="851" w:gutter="0" w:header="360" w:top="416" w:footer="0" w:bottom="624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PT Astra Serif">
    <w:charset w:val="01"/>
    <w:family w:val="roman"/>
    <w:pitch w:val="default"/>
  </w:font>
  <w:font w:name="Times New Roman">
    <w:charset w:val="cc" w:characterSet="windows-1251"/>
    <w:family w:val="roman"/>
    <w:pitch w:val="variable"/>
  </w:font>
  <w:font w:name="Courier New">
    <w:charset w:val="cc" w:characterSet="windows-1251"/>
    <w:family w:val="modern"/>
    <w:pitch w:val="default"/>
  </w:font>
  <w:font w:name="Arial">
    <w:charset w:val="cc" w:characterSet="windows-125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  <w:r>
      <mc:AlternateContent>
        <mc:Choice Requires="wps">
          <w:drawing>
            <wp:anchor behindDoc="0" distT="0" distB="0" distL="0" distR="0" simplePos="0" locked="0" layoutInCell="0" allowOverlap="1" relativeHeight="5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52070" cy="134620"/>
              <wp:effectExtent l="0" t="0" r="0" b="0"/>
              <wp:wrapSquare wrapText="largest"/>
              <wp:docPr id="1" name="Врезка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2070" cy="13462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Header"/>
                            <w:rPr/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</w:rPr>
                            <w:t>5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12065" tIns="12065" rIns="12065" bIns="12065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-0;width:4.1pt;height:10.6pt;mso-wrap-distance-left:0pt;mso-wrap-distance-right:0pt;mso-wrap-distance-top:0pt;mso-wrap-distance-bottom:0pt;margin-top:0.05pt;mso-position-vertical-relative:text;margin-left:238.85pt;mso-position-horizontal:center;mso-position-horizontal-relative:margin">
              <v:fill opacity="0f"/>
              <v:textbox inset="0.0131944444444444in,0.0131944444444444in,0.0131944444444444in,0.0131944444444444in">
                <w:txbxContent>
                  <w:p>
                    <w:pPr>
                      <w:pStyle w:val="Header"/>
                      <w:rPr/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 xml:space="preserve"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5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abstractNum w:abstractNumId="2">
    <w:lvl w:ilvl="0">
      <w:start w:val="5"/>
      <w:numFmt w:val="decimal"/>
      <w:lvlText w:val="%1."/>
      <w:lvlJc w:val="start"/>
      <w:pPr>
        <w:tabs>
          <w:tab w:val="num" w:pos="720"/>
        </w:tabs>
        <w:ind w:start="720" w:hanging="360"/>
      </w:pPr>
      <w:rPr/>
    </w:lvl>
    <w:lvl w:ilvl="1">
      <w:start w:val="1"/>
      <w:numFmt w:val="decimal"/>
      <w:lvlText w:val="%1.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1.%2.%3."/>
      <w:lvlJc w:val="start"/>
      <w:pPr>
        <w:tabs>
          <w:tab w:val="num" w:pos="1800"/>
        </w:tabs>
        <w:ind w:start="1800" w:hanging="720"/>
      </w:pPr>
      <w:rPr/>
    </w:lvl>
    <w:lvl w:ilvl="3">
      <w:start w:val="1"/>
      <w:numFmt w:val="decimal"/>
      <w:lvlText w:val="%1.%2.%3.%4."/>
      <w:lvlJc w:val="start"/>
      <w:pPr>
        <w:tabs>
          <w:tab w:val="num" w:pos="2160"/>
        </w:tabs>
        <w:ind w:start="2160" w:hanging="720"/>
      </w:pPr>
      <w:rPr/>
    </w:lvl>
    <w:lvl w:ilvl="4">
      <w:start w:val="1"/>
      <w:numFmt w:val="decimal"/>
      <w:lvlText w:val="%1.%2.%3.%4.%5."/>
      <w:lvlJc w:val="start"/>
      <w:pPr>
        <w:tabs>
          <w:tab w:val="num" w:pos="2880"/>
        </w:tabs>
        <w:ind w:start="2880" w:hanging="1080"/>
      </w:pPr>
      <w:rPr/>
    </w:lvl>
    <w:lvl w:ilvl="5">
      <w:start w:val="1"/>
      <w:numFmt w:val="decimal"/>
      <w:lvlText w:val="%1.%2.%3.%4.%5.%6."/>
      <w:lvlJc w:val="start"/>
      <w:pPr>
        <w:tabs>
          <w:tab w:val="num" w:pos="3240"/>
        </w:tabs>
        <w:ind w:start="3240" w:hanging="1080"/>
      </w:pPr>
      <w:rPr/>
    </w:lvl>
    <w:lvl w:ilvl="6">
      <w:start w:val="1"/>
      <w:numFmt w:val="decimal"/>
      <w:lvlText w:val="%1.%2.%3.%4.%5.%6.%7."/>
      <w:lvlJc w:val="start"/>
      <w:pPr>
        <w:tabs>
          <w:tab w:val="num" w:pos="3600"/>
        </w:tabs>
        <w:ind w:start="3600" w:hanging="1080"/>
      </w:pPr>
      <w:rPr/>
    </w:lvl>
    <w:lvl w:ilvl="7">
      <w:start w:val="1"/>
      <w:numFmt w:val="decimal"/>
      <w:lvlText w:val="%1.%2.%3.%4.%5.%6.%7.%8."/>
      <w:lvlJc w:val="start"/>
      <w:pPr>
        <w:tabs>
          <w:tab w:val="num" w:pos="4320"/>
        </w:tabs>
        <w:ind w:start="4320" w:hanging="1440"/>
      </w:pPr>
      <w:rPr/>
    </w:lvl>
    <w:lvl w:ilvl="8">
      <w:start w:val="1"/>
      <w:numFmt w:val="decimal"/>
      <w:lvlText w:val="%1.%2.%3.%4.%5.%6.%7.%8.%9."/>
      <w:lvlJc w:val="start"/>
      <w:pPr>
        <w:tabs>
          <w:tab w:val="num" w:pos="4680"/>
        </w:tabs>
        <w:ind w:start="4680" w:hanging="1440"/>
      </w:pPr>
      <w:rPr/>
    </w:lvl>
  </w:abstractNum>
  <w:abstractNum w:abstractNumId="3">
    <w:lvl w:ilvl="0">
      <w:start w:val="6"/>
      <w:numFmt w:val="decimal"/>
      <w:lvlText w:val="%1."/>
      <w:lvlJc w:val="start"/>
      <w:pPr>
        <w:tabs>
          <w:tab w:val="num" w:pos="360"/>
        </w:tabs>
        <w:ind w:start="360" w:hanging="360"/>
      </w:pPr>
      <w:rPr/>
    </w:lvl>
    <w:lvl w:ilvl="1">
      <w:start w:val="1"/>
      <w:numFmt w:val="decimal"/>
      <w:lvlText w:val="%1.%2."/>
      <w:lvlJc w:val="start"/>
      <w:pPr>
        <w:tabs>
          <w:tab w:val="num" w:pos="360"/>
        </w:tabs>
        <w:ind w:start="360" w:hanging="360"/>
      </w:pPr>
      <w:rPr/>
    </w:lvl>
    <w:lvl w:ilvl="2">
      <w:start w:val="1"/>
      <w:numFmt w:val="decimal"/>
      <w:lvlText w:val="%1.%2.%3."/>
      <w:lvlJc w:val="start"/>
      <w:pPr>
        <w:tabs>
          <w:tab w:val="num" w:pos="720"/>
        </w:tabs>
        <w:ind w:start="720" w:hanging="720"/>
      </w:pPr>
      <w:rPr/>
    </w:lvl>
    <w:lvl w:ilvl="3">
      <w:start w:val="1"/>
      <w:numFmt w:val="decimal"/>
      <w:lvlText w:val="%1.%2.%3.%4."/>
      <w:lvlJc w:val="start"/>
      <w:pPr>
        <w:tabs>
          <w:tab w:val="num" w:pos="720"/>
        </w:tabs>
        <w:ind w:start="720" w:hanging="720"/>
      </w:pPr>
      <w:rPr/>
    </w:lvl>
    <w:lvl w:ilvl="4">
      <w:start w:val="1"/>
      <w:numFmt w:val="decimal"/>
      <w:lvlText w:val="%1.%2.%3.%4.%5."/>
      <w:lvlJc w:val="start"/>
      <w:pPr>
        <w:tabs>
          <w:tab w:val="num" w:pos="1080"/>
        </w:tabs>
        <w:ind w:start="1080" w:hanging="1080"/>
      </w:pPr>
      <w:rPr/>
    </w:lvl>
    <w:lvl w:ilvl="5">
      <w:start w:val="1"/>
      <w:numFmt w:val="decimal"/>
      <w:lvlText w:val="%1.%2.%3.%4.%5.%6."/>
      <w:lvlJc w:val="start"/>
      <w:pPr>
        <w:tabs>
          <w:tab w:val="num" w:pos="1080"/>
        </w:tabs>
        <w:ind w:start="1080" w:hanging="1080"/>
      </w:pPr>
      <w:rPr/>
    </w:lvl>
    <w:lvl w:ilvl="6">
      <w:start w:val="1"/>
      <w:numFmt w:val="decimal"/>
      <w:lvlText w:val="%1.%2.%3.%4.%5.%6.%7."/>
      <w:lvlJc w:val="start"/>
      <w:pPr>
        <w:tabs>
          <w:tab w:val="num" w:pos="1080"/>
        </w:tabs>
        <w:ind w:start="1080" w:hanging="1080"/>
      </w:pPr>
      <w:rPr/>
    </w:lvl>
    <w:lvl w:ilvl="7">
      <w:start w:val="1"/>
      <w:numFmt w:val="decimal"/>
      <w:lvlText w:val="%1.%2.%3.%4.%5.%6.%7.%8."/>
      <w:lvlJc w:val="start"/>
      <w:pPr>
        <w:tabs>
          <w:tab w:val="num" w:pos="1440"/>
        </w:tabs>
        <w:ind w:start="1440" w:hanging="1440"/>
      </w:pPr>
      <w:rPr/>
    </w:lvl>
    <w:lvl w:ilvl="8">
      <w:start w:val="1"/>
      <w:numFmt w:val="decimal"/>
      <w:lvlText w:val="%1.%2.%3.%4.%5.%6.%7.%8.%9."/>
      <w:lvlJc w:val="start"/>
      <w:pPr>
        <w:tabs>
          <w:tab w:val="num" w:pos="1440"/>
        </w:tabs>
        <w:ind w:start="1440" w:hanging="1440"/>
      </w:pPr>
      <w:rPr/>
    </w:lvl>
  </w:abstractNum>
  <w:abstractNum w:abstractNumId="4">
    <w:lvl w:ilvl="0">
      <w:start w:val="8"/>
      <w:numFmt w:val="decimal"/>
      <w:lvlText w:val="%1."/>
      <w:lvlJc w:val="start"/>
      <w:pPr>
        <w:tabs>
          <w:tab w:val="num" w:pos="360"/>
        </w:tabs>
        <w:ind w:start="360" w:hanging="360"/>
      </w:pPr>
      <w:rPr>
        <w:sz w:val="20"/>
        <w:b/>
        <w:szCs w:val="20"/>
      </w:rPr>
    </w:lvl>
    <w:lvl w:ilvl="1">
      <w:start w:val="1"/>
      <w:numFmt w:val="decimal"/>
      <w:lvlText w:val="%1.%2."/>
      <w:lvlJc w:val="start"/>
      <w:pPr>
        <w:tabs>
          <w:tab w:val="num" w:pos="360"/>
        </w:tabs>
        <w:ind w:start="360" w:hanging="360"/>
      </w:pPr>
      <w:rPr/>
    </w:lvl>
    <w:lvl w:ilvl="2">
      <w:start w:val="1"/>
      <w:numFmt w:val="decimal"/>
      <w:lvlText w:val="%1.%2.%3."/>
      <w:lvlJc w:val="start"/>
      <w:pPr>
        <w:tabs>
          <w:tab w:val="num" w:pos="720"/>
        </w:tabs>
        <w:ind w:start="720" w:hanging="720"/>
      </w:pPr>
      <w:rPr/>
    </w:lvl>
    <w:lvl w:ilvl="3">
      <w:start w:val="1"/>
      <w:numFmt w:val="decimal"/>
      <w:lvlText w:val="%1.%2.%3.%4."/>
      <w:lvlJc w:val="start"/>
      <w:pPr>
        <w:tabs>
          <w:tab w:val="num" w:pos="720"/>
        </w:tabs>
        <w:ind w:start="720" w:hanging="720"/>
      </w:pPr>
      <w:rPr/>
    </w:lvl>
    <w:lvl w:ilvl="4">
      <w:start w:val="1"/>
      <w:numFmt w:val="decimal"/>
      <w:lvlText w:val="%1.%2.%3.%4.%5."/>
      <w:lvlJc w:val="start"/>
      <w:pPr>
        <w:tabs>
          <w:tab w:val="num" w:pos="1080"/>
        </w:tabs>
        <w:ind w:start="1080" w:hanging="1080"/>
      </w:pPr>
      <w:rPr/>
    </w:lvl>
    <w:lvl w:ilvl="5">
      <w:start w:val="1"/>
      <w:numFmt w:val="decimal"/>
      <w:lvlText w:val="%1.%2.%3.%4.%5.%6."/>
      <w:lvlJc w:val="start"/>
      <w:pPr>
        <w:tabs>
          <w:tab w:val="num" w:pos="1080"/>
        </w:tabs>
        <w:ind w:start="1080" w:hanging="1080"/>
      </w:pPr>
      <w:rPr/>
    </w:lvl>
    <w:lvl w:ilvl="6">
      <w:start w:val="1"/>
      <w:numFmt w:val="decimal"/>
      <w:lvlText w:val="%1.%2.%3.%4.%5.%6.%7."/>
      <w:lvlJc w:val="start"/>
      <w:pPr>
        <w:tabs>
          <w:tab w:val="num" w:pos="1080"/>
        </w:tabs>
        <w:ind w:start="1080" w:hanging="1080"/>
      </w:pPr>
      <w:rPr/>
    </w:lvl>
    <w:lvl w:ilvl="7">
      <w:start w:val="1"/>
      <w:numFmt w:val="decimal"/>
      <w:lvlText w:val="%1.%2.%3.%4.%5.%6.%7.%8."/>
      <w:lvlJc w:val="start"/>
      <w:pPr>
        <w:tabs>
          <w:tab w:val="num" w:pos="1440"/>
        </w:tabs>
        <w:ind w:start="1440" w:hanging="1440"/>
      </w:pPr>
      <w:rPr/>
    </w:lvl>
    <w:lvl w:ilvl="8">
      <w:start w:val="1"/>
      <w:numFmt w:val="decimal"/>
      <w:lvlText w:val="%1.%2.%3.%4.%5.%6.%7.%8.%9."/>
      <w:lvlJc w:val="start"/>
      <w:pPr>
        <w:tabs>
          <w:tab w:val="num" w:pos="1440"/>
        </w:tabs>
        <w:ind w:start="1440" w:hanging="1440"/>
      </w:pPr>
      <w:rPr/>
    </w:lvl>
  </w:abstractNum>
  <w:abstractNum w:abstractNumId="5">
    <w:lvl w:ilvl="0">
      <w:start w:val="1"/>
      <w:numFmt w:val="decimal"/>
      <w:lvlText w:val="%1"/>
      <w:lvlJc w:val="start"/>
      <w:pPr>
        <w:tabs>
          <w:tab w:val="num" w:pos="283"/>
        </w:tabs>
        <w:ind w:start="283" w:hanging="283"/>
      </w:p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PT Astra Serif" w:hAnsi="PT Astra Serif" w:eastAsia="Noto Serif CJK SC" w:cs="FreeSans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eastAsia="zh-CN" w:bidi="ar-SA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jc w:val="center"/>
      <w:outlineLvl w:val="0"/>
    </w:pPr>
    <w:rPr>
      <w:b/>
      <w:u w:val="single"/>
    </w:rPr>
  </w:style>
  <w:style w:type="character" w:styleId="WW8Num2z0">
    <w:name w:val="WW8Num2z0"/>
    <w:qFormat/>
    <w:rPr/>
  </w:style>
  <w:style w:type="character" w:styleId="WW8Num3z0">
    <w:name w:val="WW8Num3z0"/>
    <w:qFormat/>
    <w:rPr/>
  </w:style>
  <w:style w:type="character" w:styleId="WW8Num4z0">
    <w:name w:val="WW8Num4z0"/>
    <w:qFormat/>
    <w:rPr>
      <w:b/>
      <w:sz w:val="20"/>
      <w:szCs w:val="20"/>
    </w:rPr>
  </w:style>
  <w:style w:type="character" w:styleId="WW8Num4z1">
    <w:name w:val="WW8Num4z1"/>
    <w:qFormat/>
    <w:rPr/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>
      <w:b/>
      <w:sz w:val="20"/>
      <w:szCs w:val="20"/>
    </w:rPr>
  </w:style>
  <w:style w:type="character" w:styleId="WW8Num6z1">
    <w:name w:val="WW8Num6z1"/>
    <w:qFormat/>
    <w:rPr/>
  </w:style>
  <w:style w:type="character" w:styleId="Style13">
    <w:name w:val="Основной шрифт абзаца"/>
    <w:qFormat/>
    <w:rPr/>
  </w:style>
  <w:style w:type="character" w:styleId="PageNumber">
    <w:name w:val="page number"/>
    <w:basedOn w:val="Style13"/>
    <w:rPr/>
  </w:style>
  <w:style w:type="character" w:styleId="3">
    <w:name w:val="Основной текст с отступом 3 Знак"/>
    <w:qFormat/>
    <w:rPr>
      <w:sz w:val="16"/>
      <w:szCs w:val="16"/>
    </w:rPr>
  </w:style>
  <w:style w:type="character" w:styleId="31">
    <w:name w:val="Основной текст 3 Знак"/>
    <w:qFormat/>
    <w:rPr>
      <w:sz w:val="16"/>
      <w:szCs w:val="16"/>
    </w:rPr>
  </w:style>
  <w:style w:type="character" w:styleId="Style14">
    <w:name w:val="Основной шрифт"/>
    <w:qFormat/>
    <w:rPr/>
  </w:style>
  <w:style w:type="character" w:styleId="Style15">
    <w:name w:val="Основной текст с отступом Знак"/>
    <w:basedOn w:val="Style13"/>
    <w:qFormat/>
    <w:rPr/>
  </w:style>
  <w:style w:type="paragraph" w:styleId="Style16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jc w:val="both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8">
    <w:name w:val="Текст"/>
    <w:basedOn w:val="Normal"/>
    <w:qFormat/>
    <w:pPr/>
    <w:rPr>
      <w:rFonts w:ascii="Courier New" w:hAnsi="Courier New" w:cs="Courier New"/>
    </w:rPr>
  </w:style>
  <w:style w:type="paragraph" w:styleId="BodyTextIndent">
    <w:name w:val="Body Text Indent"/>
    <w:basedOn w:val="Normal"/>
    <w:pPr>
      <w:spacing w:before="0" w:after="120"/>
      <w:ind w:hanging="0" w:start="283" w:end="0"/>
    </w:pPr>
    <w:rPr/>
  </w:style>
  <w:style w:type="paragraph" w:styleId="LO-Normal">
    <w:name w:val="LO-Normal"/>
    <w:qFormat/>
    <w:pPr>
      <w:widowControl/>
      <w:suppressAutoHyphens w:val="true"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eastAsia="zh-CN" w:bidi="ar-SA"/>
    </w:rPr>
  </w:style>
  <w:style w:type="paragraph" w:styleId="32">
    <w:name w:val="Маркированный список 3"/>
    <w:basedOn w:val="Normal"/>
    <w:qFormat/>
    <w:pPr>
      <w:numPr>
        <w:ilvl w:val="0"/>
        <w:numId w:val="5"/>
      </w:numPr>
      <w:ind w:hanging="283" w:start="849" w:end="0"/>
    </w:pPr>
    <w:rPr/>
  </w:style>
  <w:style w:type="paragraph" w:styleId="33">
    <w:name w:val="Основной текст с отступом 3"/>
    <w:basedOn w:val="Normal"/>
    <w:qFormat/>
    <w:pPr>
      <w:spacing w:before="0" w:after="120"/>
      <w:ind w:hanging="0" w:start="283" w:end="0"/>
    </w:pPr>
    <w:rPr>
      <w:sz w:val="16"/>
      <w:szCs w:val="16"/>
    </w:rPr>
  </w:style>
  <w:style w:type="paragraph" w:styleId="2">
    <w:name w:val="Основной текст с отступом 2"/>
    <w:basedOn w:val="Normal"/>
    <w:qFormat/>
    <w:pPr>
      <w:spacing w:lineRule="auto" w:line="480" w:before="0" w:after="120"/>
      <w:ind w:hanging="0" w:start="283" w:end="0"/>
    </w:pPr>
    <w:rPr/>
  </w:style>
  <w:style w:type="paragraph" w:styleId="34">
    <w:name w:val="Основной текст 3"/>
    <w:basedOn w:val="Normal"/>
    <w:qFormat/>
    <w:pPr>
      <w:spacing w:before="0" w:after="120"/>
    </w:pPr>
    <w:rPr>
      <w:sz w:val="16"/>
      <w:szCs w:val="16"/>
    </w:rPr>
  </w:style>
  <w:style w:type="paragraph" w:styleId="311">
    <w:name w:val="Основной текст с отступом 31"/>
    <w:basedOn w:val="Normal"/>
    <w:qFormat/>
    <w:pPr>
      <w:suppressAutoHyphens w:val="true"/>
      <w:spacing w:before="0" w:after="120"/>
      <w:ind w:hanging="0" w:start="283" w:end="0"/>
    </w:pPr>
    <w:rPr>
      <w:sz w:val="16"/>
      <w:szCs w:val="16"/>
    </w:rPr>
  </w:style>
  <w:style w:type="paragraph" w:styleId="Style19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20">
    <w:name w:val="Колонтитул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HeaderandFooter">
    <w:name w:val="Header and Footer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Header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ConsNormal">
    <w:name w:val="ConsNormal"/>
    <w:qFormat/>
    <w:pPr>
      <w:widowControl w:val="false"/>
      <w:suppressAutoHyphens w:val="true"/>
      <w:autoSpaceDE w:val="false"/>
      <w:bidi w:val="0"/>
      <w:ind w:firstLine="720" w:start="0" w:end="19772"/>
    </w:pPr>
    <w:rPr>
      <w:rFonts w:ascii="Arial" w:hAnsi="Arial" w:eastAsia="Times New Roman" w:cs="Arial"/>
      <w:color w:val="auto"/>
      <w:sz w:val="24"/>
      <w:szCs w:val="24"/>
      <w:lang w:val="ru-RU" w:eastAsia="zh-CN" w:bidi="ar-SA"/>
    </w:rPr>
  </w:style>
  <w:style w:type="paragraph" w:styleId="21">
    <w:name w:val="Обычный2"/>
    <w:qFormat/>
    <w:pPr>
      <w:widowControl w:val="false"/>
      <w:suppressAutoHyphens w:val="true"/>
      <w:bidi w:val="0"/>
      <w:spacing w:lineRule="auto" w:line="252"/>
      <w:ind w:hanging="360" w:start="360" w:end="0"/>
    </w:pPr>
    <w:rPr>
      <w:rFonts w:ascii="Times New Roman" w:hAnsi="Times New Roman" w:eastAsia="Times New Roman" w:cs="Times New Roman"/>
      <w:color w:val="auto"/>
      <w:sz w:val="22"/>
      <w:szCs w:val="20"/>
      <w:lang w:val="ru-RU" w:eastAsia="zh-CN" w:bidi="ar-SA"/>
    </w:rPr>
  </w:style>
  <w:style w:type="paragraph" w:styleId="1">
    <w:name w:val="Обычный1"/>
    <w:qFormat/>
    <w:pPr>
      <w:widowControl w:val="false"/>
      <w:suppressAutoHyphens w:val="true"/>
      <w:bidi w:val="0"/>
      <w:spacing w:lineRule="auto" w:line="252"/>
      <w:ind w:hanging="360" w:start="360" w:end="0"/>
    </w:pPr>
    <w:rPr>
      <w:rFonts w:ascii="Times New Roman" w:hAnsi="Times New Roman" w:eastAsia="Times New Roman" w:cs="Times New Roman"/>
      <w:color w:val="auto"/>
      <w:sz w:val="22"/>
      <w:szCs w:val="20"/>
      <w:lang w:val="ru-RU" w:eastAsia="zh-CN" w:bidi="ar-SA"/>
    </w:rPr>
  </w:style>
  <w:style w:type="paragraph" w:styleId="Style21">
    <w:name w:val="Содержимое таблицы"/>
    <w:basedOn w:val="Normal"/>
    <w:qFormat/>
    <w:pPr>
      <w:suppressLineNumbers/>
    </w:pPr>
    <w:rPr/>
  </w:style>
  <w:style w:type="paragraph" w:styleId="Style22">
    <w:name w:val="Заголовок таблицы"/>
    <w:basedOn w:val="Style21"/>
    <w:qFormat/>
    <w:pPr>
      <w:suppressLineNumbers/>
      <w:jc w:val="center"/>
    </w:pPr>
    <w:rPr>
      <w:b/>
      <w:bCs/>
    </w:rPr>
  </w:style>
  <w:style w:type="paragraph" w:styleId="Style23">
    <w:name w:val="Содержимое врезки"/>
    <w:basedOn w:val="Normal"/>
    <w:qFormat/>
    <w:pPr/>
    <w:rPr/>
  </w:style>
  <w:style w:type="paragraph" w:styleId="BodyTextIndent3">
    <w:name w:val="Body Text Indent 3"/>
    <w:basedOn w:val="Normal"/>
    <w:qFormat/>
    <w:pPr>
      <w:spacing w:before="0" w:after="120"/>
      <w:ind w:hanging="0" w:start="283" w:end="0"/>
    </w:pPr>
    <w:rPr>
      <w:sz w:val="16"/>
      <w:szCs w:val="16"/>
      <w:lang w:val="ru-RU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583</TotalTime>
  <Application>LibreOffice/24.8.4.2$Linux_X86_64 LibreOffice_project/480$Build-2</Application>
  <AppVersion>15.0000</AppVersion>
  <Pages>5</Pages>
  <Words>2358</Words>
  <Characters>16537</Characters>
  <CharactersWithSpaces>19046</CharactersWithSpaces>
  <Paragraphs>123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2017-01-04T18:46:00Z</dcterms:created>
  <dc:creator>***</dc:creator>
  <dc:description/>
  <dc:language>ru-RU</dc:language>
  <cp:lastModifiedBy/>
  <cp:lastPrinted>1995-11-21T17:41:00Z</cp:lastPrinted>
  <dcterms:modified xsi:type="dcterms:W3CDTF">2024-11-10T19:44:13Z</dcterms:modified>
  <cp:revision>25</cp:revision>
  <dc:subject/>
  <dc:title>Договор № ________</dc:title>
</cp:coreProperties>
</file>