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white"/>
        </w:rPr>
      </w:pPr>
      <w:r>
        <w:rPr>
          <w:b/>
          <w:highlight w:val="white"/>
        </w:rPr>
        <w:t>ДОГОВОР №     /Г/К- GSM,</w:t>
      </w:r>
    </w:p>
    <w:p>
      <w:pPr>
        <w:pStyle w:val="Normal"/>
        <w:jc w:val="center"/>
        <w:rPr>
          <w:highlight w:val="white"/>
        </w:rPr>
      </w:pPr>
      <w:r>
        <w:rPr>
          <w:b/>
          <w:highlight w:val="white"/>
        </w:rPr>
        <w:t xml:space="preserve">Возмездного оказание услуг по охране имущества граждан путём оперативного реагирования на тревожные сообщения о срабатывании средств </w:t>
      </w:r>
      <w:r>
        <w:rPr>
          <w:b/>
          <w:sz w:val="20"/>
          <w:szCs w:val="20"/>
          <w:highlight w:val="white"/>
        </w:rPr>
        <w:t xml:space="preserve">охранно - пожарной сигнализации установленных в МПХИГ </w:t>
      </w:r>
    </w:p>
    <w:p>
      <w:pPr>
        <w:pStyle w:val="Normal"/>
        <w:jc w:val="center"/>
        <w:rPr>
          <w:b/>
          <w:highlight w:val="white"/>
        </w:rPr>
      </w:pPr>
      <w:r>
        <w:rPr>
          <w:b/>
          <w:highlight w:val="white"/>
        </w:rPr>
      </w:r>
    </w:p>
    <w:p>
      <w:pPr>
        <w:pStyle w:val="Normal"/>
        <w:jc w:val="both"/>
        <w:rPr>
          <w:highlight w:val="white"/>
        </w:rPr>
      </w:pPr>
      <w:r>
        <w:rPr>
          <w:b/>
          <w:highlight w:val="white"/>
        </w:rPr>
        <w:t xml:space="preserve"> </w:t>
      </w:r>
      <w:r>
        <w:rPr>
          <w:highlight w:val="white"/>
        </w:rPr>
        <w:t xml:space="preserve">п. Володарский                                                                                                                                  «_____»  июля 2024 года                                                                                                                                    </w:t>
      </w:r>
    </w:p>
    <w:p>
      <w:pPr>
        <w:pStyle w:val="Normal"/>
        <w:jc w:val="both"/>
        <w:rPr>
          <w:highlight w:val="white"/>
        </w:rPr>
      </w:pPr>
      <w:r>
        <w:rPr>
          <w:highlight w:val="white"/>
        </w:rPr>
        <w:t xml:space="preserve">        </w:t>
      </w:r>
    </w:p>
    <w:p>
      <w:pPr>
        <w:pStyle w:val="Normal"/>
        <w:jc w:val="both"/>
        <w:rPr/>
      </w:pPr>
      <w:r>
        <w:rPr>
          <w:highlight w:val="white"/>
        </w:rPr>
        <w:t xml:space="preserve">      </w:t>
      </w:r>
      <w:r>
        <w:rPr>
          <w:highlight w:val="white"/>
        </w:rPr>
        <w:t>Федеральное государственное казенно</w:t>
      </w:r>
      <w:r>
        <w:rPr/>
        <w:t>е учреждение «Отдел вневедомственной охраны войск национальной гвардии Российской Федер</w:t>
      </w:r>
      <w:r>
        <w:rPr>
          <w:highlight w:val="white"/>
        </w:rPr>
        <w:t xml:space="preserve">ации по Астраханской области», </w:t>
      </w:r>
      <w:r>
        <w:rPr>
          <w:b w:val="false"/>
          <w:bCs w:val="false"/>
          <w:sz w:val="20"/>
          <w:szCs w:val="20"/>
          <w:highlight w:val="white"/>
        </w:rPr>
        <w:t>именуемое в дальнейшем «Охрана»»</w:t>
      </w:r>
      <w:r>
        <w:rPr>
          <w:b w:val="false"/>
          <w:bCs w:val="false"/>
          <w:sz w:val="24"/>
          <w:szCs w:val="24"/>
          <w:highlight w:val="white"/>
        </w:rPr>
        <w:t xml:space="preserve">, </w:t>
      </w:r>
      <w:r>
        <w:rPr>
          <w:highlight w:val="white"/>
        </w:rPr>
        <w:t xml:space="preserve">в лице начальника Отделения вневедомственной охраны по __________________ району – филиала федерального государственного казенного учреждения «Отдел вневедомственной охраны войск национальной гвардии Российской Федерации по Астраханской области» </w:t>
      </w:r>
      <w:r>
        <w:rPr>
          <w:b/>
          <w:highlight w:val="white"/>
        </w:rPr>
        <w:t>__________________________________-</w:t>
      </w:r>
      <w:r>
        <w:rPr>
          <w:highlight w:val="white"/>
        </w:rPr>
        <w:t xml:space="preserve"> действующей на основании Положения </w:t>
      </w:r>
      <w:r>
        <w:rPr>
          <w:rFonts w:cs="Arial"/>
          <w:color w:val="000000"/>
          <w:highlight w:val="white"/>
        </w:rPr>
        <w:t xml:space="preserve">о филиале и </w:t>
      </w:r>
      <w:r>
        <w:rPr>
          <w:highlight w:val="white"/>
        </w:rPr>
        <w:t>Доверенности _______________________, с одной стороны, и гражданин</w:t>
      </w:r>
      <w:r>
        <w:rPr>
          <w:b/>
          <w:highlight w:val="white"/>
        </w:rPr>
        <w:t xml:space="preserve">  </w:t>
      </w:r>
      <w:r>
        <w:rPr>
          <w:b/>
          <w:highlight w:val="white"/>
          <w:u w:val="single"/>
        </w:rPr>
        <w:t xml:space="preserve">                                                                                </w:t>
      </w:r>
      <w:r>
        <w:rPr>
          <w:b/>
          <w:i/>
          <w:highlight w:val="white"/>
          <w:u w:val="single"/>
        </w:rPr>
        <w:t xml:space="preserve"> </w:t>
      </w:r>
      <w:r>
        <w:rPr>
          <w:b/>
          <w:highlight w:val="white"/>
        </w:rPr>
        <w:t xml:space="preserve">                             </w:t>
      </w:r>
      <w:r>
        <w:rPr>
          <w:b/>
          <w:highlight w:val="white"/>
          <w:u w:val="single"/>
        </w:rPr>
        <w:t xml:space="preserve">                                                                                  </w:t>
      </w:r>
      <w:r>
        <w:rPr>
          <w:highlight w:val="white"/>
        </w:rPr>
        <w:t xml:space="preserve"> </w:t>
      </w:r>
      <w:r>
        <w:rPr>
          <w:b/>
          <w:highlight w:val="white"/>
        </w:rPr>
        <w:t>__________________________</w:t>
      </w:r>
      <w:r>
        <w:rPr>
          <w:highlight w:val="white"/>
        </w:rPr>
        <w:t>,  именуемый в дальнейшем «Клиент», с другой стороны, а вместе именуемые Стороны, заключили настоящий Договор о нижеследующем:</w:t>
      </w:r>
    </w:p>
    <w:p>
      <w:pPr>
        <w:pStyle w:val="Normal"/>
        <w:jc w:val="center"/>
        <w:rPr/>
      </w:pPr>
      <w:r>
        <w:rPr>
          <w:b/>
        </w:rPr>
        <w:t>1. ПРЕДМЕТ ДОГОВОРА</w:t>
      </w:r>
    </w:p>
    <w:p>
      <w:pPr>
        <w:pStyle w:val="BodyTextIndent"/>
        <w:spacing w:before="0" w:after="0"/>
        <w:ind w:firstLine="709" w:left="0"/>
        <w:jc w:val="both"/>
        <w:rPr/>
      </w:pPr>
      <w:r>
        <w:rPr>
          <w:highlight w:val="darkYellow"/>
        </w:rPr>
        <w:t xml:space="preserve">1.1.«Охрана» обеспечивает возмездное оказания услуг по охране имущества граждан путем оперативного реагирования на тревожные сообщения средств охранно-пожарной сигнализации ( Далее - ОПС) </w:t>
      </w:r>
      <w:r>
        <w:rPr>
          <w:sz w:val="20"/>
          <w:szCs w:val="20"/>
          <w:highlight w:val="darkYellow"/>
        </w:rPr>
        <w:t>(при установке  пожарной сигнализации)</w:t>
      </w:r>
      <w:r>
        <w:rPr>
          <w:sz w:val="21"/>
          <w:szCs w:val="21"/>
          <w:highlight w:val="darkYellow"/>
        </w:rPr>
        <w:t xml:space="preserve"> </w:t>
      </w:r>
      <w:r>
        <w:rPr>
          <w:highlight w:val="darkYellow"/>
        </w:rPr>
        <w:t xml:space="preserve">(далее - Комплекс), установленных в </w:t>
      </w:r>
      <w:r>
        <w:rPr>
          <w:b/>
          <w:shd w:fill="81D41A" w:val="clear"/>
        </w:rPr>
        <w:t>местах проживания хранения имущества граждан (Далее — МПХИГ)</w:t>
      </w:r>
      <w:r>
        <w:rPr>
          <w:highlight w:val="darkYellow"/>
        </w:rPr>
        <w:t xml:space="preserve"> «Клиента», расположенного по адресу</w:t>
      </w:r>
      <w:r>
        <w:rPr>
          <w:b/>
          <w:highlight w:val="darkYellow"/>
        </w:rPr>
        <w:t xml:space="preserve">: ________________________________ </w:t>
      </w:r>
      <w:r>
        <w:rPr>
          <w:highlight w:val="darkYellow"/>
        </w:rPr>
        <w:t xml:space="preserve">(далее – «Объект»), </w:t>
      </w:r>
      <w:r>
        <w:rPr>
          <w:highlight w:val="white"/>
        </w:rPr>
        <w:t xml:space="preserve">принятых от клиента в установленном порядке с помощью пульта централизованного наблюдения (далее - ПЦН) «Охраны» по исправным каналам связи GSM, при бесперебойном электроснабжении и выяснить причины поступления сигнала при срабатывании средств сигнализации с помощью группы задержания «Охраны», путем ее прибытия на объект, </w:t>
      </w:r>
      <w:r>
        <w:rPr>
          <w:shd w:fill="FFFFFF" w:val="clear"/>
        </w:rPr>
        <w:t>а «Клиент» обязуется оплачивать данные услуги в соответствии с условиями настоящего договора.</w:t>
      </w:r>
    </w:p>
    <w:p>
      <w:pPr>
        <w:pStyle w:val="BodyTextIndent"/>
        <w:spacing w:before="0" w:after="0"/>
        <w:ind w:firstLine="709" w:left="0"/>
        <w:jc w:val="both"/>
        <w:rPr/>
      </w:pPr>
      <w:r>
        <w:rPr>
          <w:shd w:fill="FFFFFF" w:val="clear"/>
        </w:rPr>
        <w:t>1.2</w:t>
        <w:tab/>
        <w:t>Техническое обслуживание, текущий и капитальный ремонт технических средств охраны, установленных на объекте, а также ответственность за их исправную работоспособность несет обслуживающая организация в соответствии с отдельно заключенным Договором на техническое обслуживание технических средств охраны.</w:t>
      </w:r>
    </w:p>
    <w:p>
      <w:pPr>
        <w:pStyle w:val="BodyTextIndent"/>
        <w:spacing w:before="0" w:after="0"/>
        <w:jc w:val="center"/>
        <w:rPr>
          <w:b/>
        </w:rPr>
      </w:pPr>
      <w:r>
        <w:rPr>
          <w:b/>
        </w:rPr>
        <w:t>2.ОБЩИЕ ПОЛОЖЕНИЯ</w:t>
      </w:r>
    </w:p>
    <w:p>
      <w:pPr>
        <w:pStyle w:val="BodyText3"/>
        <w:ind w:firstLine="709"/>
        <w:jc w:val="both"/>
        <w:rPr>
          <w:sz w:val="20"/>
        </w:rPr>
      </w:pPr>
      <w:r>
        <w:rPr>
          <w:sz w:val="20"/>
        </w:rPr>
        <w:t>2.1. Перед заключением договора «Клиент» предоставляет «Охране» следующие сведения и документы:</w:t>
      </w:r>
    </w:p>
    <w:p>
      <w:pPr>
        <w:pStyle w:val="BodyText3"/>
        <w:jc w:val="both"/>
        <w:rPr>
          <w:sz w:val="20"/>
        </w:rPr>
      </w:pPr>
      <w:r>
        <w:rPr>
          <w:sz w:val="20"/>
        </w:rPr>
        <w:t xml:space="preserve">              </w:t>
      </w:r>
      <w:r>
        <w:rPr>
          <w:sz w:val="20"/>
        </w:rPr>
        <w:t>- паспорт или иной документ, удостоверяющий личность гражданина и место его проживания;</w:t>
      </w:r>
    </w:p>
    <w:p>
      <w:pPr>
        <w:pStyle w:val="BodyText3"/>
        <w:jc w:val="both"/>
        <w:rPr>
          <w:sz w:val="20"/>
        </w:rPr>
      </w:pPr>
      <w:r>
        <w:rPr>
          <w:sz w:val="20"/>
        </w:rPr>
        <w:t xml:space="preserve">              </w:t>
      </w:r>
      <w:r>
        <w:rPr>
          <w:sz w:val="20"/>
        </w:rPr>
        <w:t>- справку из ЖКО о составе семьи «Клиента» и иных лицах, проживающих по адресу «Объекта»;</w:t>
      </w:r>
    </w:p>
    <w:p>
      <w:pPr>
        <w:pStyle w:val="BodyText3"/>
        <w:jc w:val="both"/>
        <w:rPr>
          <w:sz w:val="20"/>
        </w:rPr>
      </w:pPr>
      <w:r>
        <w:rPr>
          <w:sz w:val="20"/>
        </w:rPr>
        <w:t xml:space="preserve">        </w:t>
      </w:r>
      <w:r>
        <w:rPr>
          <w:sz w:val="20"/>
        </w:rPr>
        <w:t>- документы, подтверждающие право «Клиента» на пользование, владение или распоряжение «Объектом» (свидетельство о государственной регистрации права собственности на недвижимое имущество, договор купли-продажи, приватизации, найма жилого помещения и т.д.);</w:t>
      </w:r>
    </w:p>
    <w:p>
      <w:pPr>
        <w:pStyle w:val="BodyText3"/>
        <w:jc w:val="both"/>
        <w:rPr>
          <w:sz w:val="20"/>
        </w:rPr>
      </w:pPr>
      <w:r>
        <w:rPr>
          <w:sz w:val="20"/>
        </w:rPr>
        <w:t xml:space="preserve">             </w:t>
      </w:r>
      <w:r>
        <w:rPr>
          <w:sz w:val="20"/>
        </w:rPr>
        <w:t>- список лиц (с указанием их Ф.И.О., адреса регистрации и/или фактического проживания, домашних, сотовых и служебных телефонов), которым «Клиент» доверяет совершение действий по постановке/снятию «Объекта» под охрану/с охраны, его «перезакрытию» (повторной постановке под централизованное наблюдение) в случае неподключения (отключения) «Объекта» на ПЦН «Охраны», его вскрытию и осмотру (при срабатывании сигнализации) для выяснения причин срабатывания и иных действий от лица «Клиента» во исполнение его обязанностей по настоящему договору.</w:t>
      </w:r>
    </w:p>
    <w:p>
      <w:pPr>
        <w:pStyle w:val="Normal"/>
        <w:ind w:firstLine="720"/>
        <w:jc w:val="both"/>
        <w:rPr>
          <w:i/>
          <w:i/>
        </w:rPr>
      </w:pPr>
      <w:r>
        <w:rPr/>
        <w:t>2.2. Принимаемый н</w:t>
      </w:r>
      <w:r>
        <w:rPr>
          <w:highlight w:val="darkYellow"/>
        </w:rPr>
        <w:t>а контроль технические средства охраны (далее - ТСО)</w:t>
      </w:r>
      <w:r>
        <w:rPr/>
        <w:t xml:space="preserve"> на Объекте Клиента  оборудуется средствами </w:t>
      </w:r>
      <w:r>
        <w:rPr>
          <w:highlight w:val="darkYellow"/>
        </w:rPr>
        <w:t>ОПС</w:t>
      </w:r>
      <w:r>
        <w:rPr/>
        <w:t xml:space="preserve"> (</w:t>
      </w:r>
      <w:r>
        <w:rPr>
          <w:sz w:val="20"/>
          <w:szCs w:val="20"/>
          <w:highlight w:val="darkYellow"/>
        </w:rPr>
        <w:t xml:space="preserve">при установке пожарной сигнализации) </w:t>
      </w:r>
      <w:r>
        <w:rPr/>
        <w:t>и подключается к ПЦН «Охраны» с использованием каналов передачи да</w:t>
      </w:r>
      <w:r>
        <w:rPr>
          <w:highlight w:val="white"/>
        </w:rPr>
        <w:t>нных (</w:t>
      </w:r>
      <w:r>
        <w:rPr>
          <w:shd w:fill="FFFFFF" w:val="clear"/>
        </w:rPr>
        <w:t xml:space="preserve">беспроводного </w:t>
      </w:r>
      <w:r>
        <w:rPr>
          <w:highlight w:val="white"/>
        </w:rPr>
        <w:t xml:space="preserve">канала </w:t>
      </w:r>
      <w:r>
        <w:rPr>
          <w:highlight w:val="white"/>
          <w:lang w:val="en-US"/>
        </w:rPr>
        <w:t>GSM</w:t>
      </w:r>
      <w:r>
        <w:rPr>
          <w:highlight w:val="white"/>
        </w:rPr>
        <w:t xml:space="preserve"> связи). «Охрана» определяет на «Объекте» </w:t>
      </w:r>
      <w:r>
        <w:rPr>
          <w:bCs/>
          <w:highlight w:val="white"/>
        </w:rPr>
        <w:t>места, подлежащие оборудованию средствами ОПС</w:t>
      </w:r>
      <w:r>
        <w:rPr>
          <w:bCs/>
        </w:rPr>
        <w:t>, и рекомендует технические решения их защиты, а также - способы технической укрепленности строительных конструкций</w:t>
      </w:r>
      <w:r>
        <w:rPr/>
        <w:t>. Отказ «Клиента» от оборудования средствами сигнализации мест возможного проникновения и предложенного технического решения оговаривается в Перечне основных сведений (Приложение № 1), являющемся неотъемлемой частью настоящего договора.</w:t>
      </w:r>
    </w:p>
    <w:p>
      <w:pPr>
        <w:pStyle w:val="BodyText3"/>
        <w:ind w:firstLine="709"/>
        <w:jc w:val="both"/>
        <w:rPr>
          <w:sz w:val="20"/>
        </w:rPr>
      </w:pPr>
      <w:bookmarkStart w:id="0" w:name="_Ref130109077"/>
      <w:r>
        <w:rPr>
          <w:sz w:val="20"/>
        </w:rPr>
        <w:t>2.3. Принимаемый под наблюдение «Объект» должен иметь исправные окна, форточки, балконные и двойные входные двери и запоры на них. На каждой входной двери устанавливается не менее двух замков различной конструкции. «Объект» должен удовлетворять действующим в системе ФСВНГ РФ требованиям по технической укрепленности и оснащенности ТСО, в том числе источниками резервного питания, предъявляемым к помещениям с личн</w:t>
      </w:r>
      <w:r>
        <w:rPr>
          <w:sz w:val="20"/>
          <w:highlight w:val="white"/>
        </w:rPr>
        <w:t>ым имуществом граждан.</w:t>
      </w:r>
      <w:bookmarkEnd w:id="0"/>
    </w:p>
    <w:p>
      <w:pPr>
        <w:pStyle w:val="BodyText3"/>
        <w:ind w:firstLine="720"/>
        <w:jc w:val="both"/>
        <w:rPr>
          <w:highlight w:val="white"/>
        </w:rPr>
      </w:pPr>
      <w:r>
        <w:rPr>
          <w:sz w:val="20"/>
          <w:highlight w:val="white"/>
        </w:rPr>
        <w:t>2.4. «Клиент», члены его семьи, лица, совместно с ним проживающие, сособственники (сонаниматели) жилого помещения, а также указанные в Перечне основных сведений доверенные лица имеют равные права в пользовании сигнализацией, установленной на «Объекте». В случае отсутствия «Клиента», членов его семьи и лиц, зарегистрированных по указанному адресу, представление интересов «Клиента» по настоящему договору поручается его доверенному лицу.</w:t>
      </w:r>
    </w:p>
    <w:p>
      <w:pPr>
        <w:pStyle w:val="BodyText3"/>
        <w:ind w:firstLine="720"/>
        <w:jc w:val="both"/>
        <w:rPr>
          <w:sz w:val="20"/>
        </w:rPr>
      </w:pPr>
      <w:r>
        <w:rPr>
          <w:sz w:val="20"/>
          <w:highlight w:val="white"/>
        </w:rPr>
        <w:t xml:space="preserve">2.5. Условия настоящего </w:t>
      </w:r>
      <w:r>
        <w:rPr>
          <w:sz w:val="20"/>
        </w:rPr>
        <w:t>Договора не распространяются на помещения и имущество, используемые «Клиентом» или иными лицами для осуществления предпринимательской деятельности.</w:t>
      </w:r>
    </w:p>
    <w:p>
      <w:pPr>
        <w:pStyle w:val="BodyText3"/>
        <w:jc w:val="both"/>
        <w:rPr>
          <w:sz w:val="20"/>
        </w:rPr>
      </w:pPr>
      <w:r>
        <w:rPr>
          <w:sz w:val="20"/>
        </w:rPr>
        <w:t xml:space="preserve">              </w:t>
      </w:r>
      <w:r>
        <w:rPr>
          <w:sz w:val="20"/>
        </w:rPr>
        <w:t xml:space="preserve">2.6. «Клиент» не вправе препятствовать членам своей семьи и иным лицам, проживающим совместно с ним на «Объекте», а также лицам, имеющим совместно (наряду) с «Клиентом» правовые основания владения, пользования или распоряжения «Объектом», в пользовании ими </w:t>
      </w:r>
      <w:r>
        <w:rPr>
          <w:sz w:val="20"/>
          <w:highlight w:val="darkYellow"/>
        </w:rPr>
        <w:t xml:space="preserve">ТСО </w:t>
      </w:r>
      <w:r>
        <w:rPr>
          <w:sz w:val="20"/>
        </w:rPr>
        <w:t>или в доступе на «Объект», а равно требовать соответствующих действий от «Охраны»</w:t>
      </w:r>
    </w:p>
    <w:p>
      <w:pPr>
        <w:pStyle w:val="BodyText3"/>
        <w:ind w:firstLine="709"/>
        <w:jc w:val="both"/>
        <w:rPr>
          <w:sz w:val="20"/>
        </w:rPr>
      </w:pPr>
      <w:r>
        <w:rPr>
          <w:sz w:val="20"/>
        </w:rPr>
        <w:t>2.7. Услуги по договору оказываются только в отношении «Объекта», принятого под централизованное наблюдение. «Объект» считается принятым под централизованное наблюдение при выполнении следующих условий:</w:t>
      </w:r>
    </w:p>
    <w:p>
      <w:pPr>
        <w:pStyle w:val="BodyText3"/>
        <w:ind w:firstLine="709"/>
        <w:jc w:val="both"/>
        <w:rPr>
          <w:sz w:val="20"/>
        </w:rPr>
      </w:pPr>
      <w:r>
        <w:rPr>
          <w:sz w:val="20"/>
        </w:rPr>
        <w:t>2.7.1. При исправности канала передачи данных (</w:t>
      </w:r>
      <w:r>
        <w:rPr>
          <w:sz w:val="20"/>
          <w:lang w:val="en-US"/>
        </w:rPr>
        <w:t>установленного на «Объекте» радиопередающего устройства, либо канала связи GSM</w:t>
      </w:r>
      <w:r>
        <w:rPr>
          <w:sz w:val="20"/>
        </w:rPr>
        <w:t>), используемых для вывода ТСО на ПЦН «Охраны», исправности энергоснабжения «Объекта» и установленных на нем ТСО;</w:t>
      </w:r>
    </w:p>
    <w:p>
      <w:pPr>
        <w:pStyle w:val="BodyText3"/>
        <w:ind w:firstLine="709"/>
        <w:jc w:val="both"/>
        <w:rPr>
          <w:sz w:val="20"/>
        </w:rPr>
      </w:pPr>
      <w:r>
        <w:rPr>
          <w:sz w:val="20"/>
        </w:rPr>
        <w:t xml:space="preserve">2.7.2. При сдаче «Объекта» под наблюдение «Клиентом», членом его семьи или иным уполномоченным им лицом с соблюдением порядка, предусмотренного прилагаемой Инструкцией по пользованию средствами </w:t>
      </w:r>
      <w:r>
        <w:rPr>
          <w:sz w:val="20"/>
          <w:highlight w:val="darkYellow"/>
        </w:rPr>
        <w:t xml:space="preserve">ОПС  </w:t>
      </w:r>
      <w:r>
        <w:rPr>
          <w:sz w:val="20"/>
          <w:highlight w:val="white"/>
        </w:rPr>
        <w:t>(Приложение № 2).</w:t>
      </w:r>
    </w:p>
    <w:p>
      <w:pPr>
        <w:pStyle w:val="BodyText3"/>
        <w:ind w:firstLine="709"/>
        <w:jc w:val="both"/>
        <w:rPr>
          <w:sz w:val="20"/>
        </w:rPr>
      </w:pPr>
      <w:r>
        <w:rPr>
          <w:sz w:val="20"/>
        </w:rPr>
        <w:t>2.8. Охранные услуги не осуществляются в отношении «Объекта», снятого с наблюдения или не принятого под наблюдение. «Объект» считается снятым с наблюдения или не принятым под наблюдение (неохраняемым) в следующих случаях:</w:t>
      </w:r>
    </w:p>
    <w:p>
      <w:pPr>
        <w:pStyle w:val="BodyText3"/>
        <w:ind w:firstLine="709"/>
        <w:jc w:val="both"/>
        <w:rPr>
          <w:sz w:val="20"/>
        </w:rPr>
      </w:pPr>
      <w:r>
        <w:rPr>
          <w:sz w:val="20"/>
        </w:rPr>
        <w:t>2.8.1. При снятии «Объекта» с наблюдения «Клиентом», членом его семьи или иным уполномоченным им лицом в установленном «Инструкцией» порядке;</w:t>
      </w:r>
    </w:p>
    <w:p>
      <w:pPr>
        <w:pStyle w:val="BodyText3"/>
        <w:ind w:hanging="0" w:left="709"/>
        <w:jc w:val="both"/>
        <w:rPr>
          <w:sz w:val="20"/>
        </w:rPr>
      </w:pPr>
      <w:r>
        <w:rPr>
          <w:sz w:val="20"/>
        </w:rPr>
        <w:t>2</w:t>
      </w:r>
      <w:r>
        <w:rPr>
          <w:sz w:val="20"/>
          <w:highlight w:val="white"/>
        </w:rPr>
        <w:t>.8.2. При невыполнении условий сдачи «Объекта» под наблюдение (п. 2.7. Договора);</w:t>
      </w:r>
    </w:p>
    <w:p>
      <w:pPr>
        <w:pStyle w:val="BodyText3"/>
        <w:ind w:firstLine="709"/>
        <w:jc w:val="both"/>
        <w:rPr>
          <w:highlight w:val="white"/>
        </w:rPr>
      </w:pPr>
      <w:r>
        <w:rPr>
          <w:sz w:val="20"/>
          <w:highlight w:val="white"/>
        </w:rPr>
        <w:t xml:space="preserve">2.8.3. </w:t>
      </w:r>
      <w:r>
        <w:rPr>
          <w:sz w:val="20"/>
          <w:shd w:fill="FFFFFF" w:val="clear"/>
        </w:rPr>
        <w:t xml:space="preserve">При возникновении не зависящих от «Охраны» технических причин, препятствующих осуществлению «Охраной» централизованного наблюдения за ТСО, неисправности установленным на «Объекте» передающего устройства, не функционирование канала связи GSM, перебои электроснабжения или отсутствия положительного баланса на  счетах SIM - карт </w:t>
      </w:r>
      <w:r>
        <w:rPr>
          <w:sz w:val="24"/>
          <w:szCs w:val="24"/>
          <w:highlight w:val="yellow"/>
        </w:rPr>
        <w:t>у</w:t>
      </w:r>
      <w:r>
        <w:rPr>
          <w:sz w:val="20"/>
          <w:szCs w:val="20"/>
          <w:highlight w:val="yellow"/>
        </w:rPr>
        <w:t>становленных</w:t>
      </w:r>
      <w:r>
        <w:rPr>
          <w:sz w:val="20"/>
          <w:szCs w:val="20"/>
          <w:shd w:fill="FFFF00" w:val="clear"/>
        </w:rPr>
        <w:t xml:space="preserve"> в Комплексе средств ОПС на </w:t>
      </w:r>
      <w:r>
        <w:rPr>
          <w:sz w:val="20"/>
          <w:szCs w:val="20"/>
          <w:shd w:fill="FFFF00" w:val="clear"/>
        </w:rPr>
        <w:t>«Объекте» и т.п.)</w:t>
      </w:r>
      <w:r>
        <w:rPr>
          <w:sz w:val="20"/>
          <w:szCs w:val="20"/>
          <w:shd w:fill="FFFFFF" w:val="clear"/>
        </w:rPr>
        <w:t>.</w:t>
      </w:r>
    </w:p>
    <w:p>
      <w:pPr>
        <w:pStyle w:val="BodyText3"/>
        <w:jc w:val="both"/>
        <w:rPr>
          <w:sz w:val="20"/>
        </w:rPr>
      </w:pPr>
      <w:r>
        <w:rPr>
          <w:sz w:val="20"/>
          <w:highlight w:val="white"/>
        </w:rPr>
        <w:t xml:space="preserve">             </w:t>
      </w:r>
      <w:r>
        <w:rPr>
          <w:sz w:val="20"/>
          <w:highlight w:val="white"/>
        </w:rPr>
        <w:t>2.9. По настоящему договору «Охрана» не отвечает за убытки, причиненные «Клиенту» в результате хищения, повреждения или уничтожения его имущества, а также за вред, причиненный жизни, здоровью «Клиента», его работников и третьих лиц. Требования о возмещ</w:t>
      </w:r>
      <w:r>
        <w:rPr>
          <w:sz w:val="20"/>
        </w:rPr>
        <w:t>ении указанных убытков и вреда предъявляются «Клиентом» к непосредственным их причинителям.</w:t>
      </w:r>
    </w:p>
    <w:p>
      <w:pPr>
        <w:pStyle w:val="Normal"/>
        <w:jc w:val="both"/>
        <w:rPr>
          <w:b/>
        </w:rPr>
      </w:pPr>
      <w:r>
        <w:rPr/>
        <w:t xml:space="preserve">        </w:t>
      </w:r>
      <w:r>
        <w:rPr/>
        <w:t>2.10. Оборудование «Объекта» техническими средствами охраны, приобретение необходимого количества ключей TOUCH MEMORY, а также выдача дополнительных ключей и перепрограммирование их в случае потери, производится за счет «Клиента».</w:t>
      </w:r>
    </w:p>
    <w:p>
      <w:pPr>
        <w:pStyle w:val="Normal"/>
        <w:jc w:val="center"/>
        <w:rPr>
          <w:b/>
        </w:rPr>
      </w:pPr>
      <w:r>
        <w:rPr>
          <w:b/>
        </w:rPr>
        <w:t>3.ОБЯЗАННОСТИ «ОХРАНЫ»</w:t>
      </w:r>
    </w:p>
    <w:p>
      <w:pPr>
        <w:pStyle w:val="BodyTextIndent3"/>
        <w:numPr>
          <w:ilvl w:val="1"/>
          <w:numId w:val="29"/>
        </w:numPr>
        <w:tabs>
          <w:tab w:val="clear" w:pos="720"/>
          <w:tab w:val="left" w:pos="0" w:leader="none"/>
          <w:tab w:val="left" w:pos="1134" w:leader="none"/>
        </w:tabs>
        <w:spacing w:before="0" w:after="0"/>
        <w:ind w:firstLine="709" w:left="0"/>
        <w:jc w:val="both"/>
        <w:rPr>
          <w:sz w:val="20"/>
          <w:szCs w:val="20"/>
        </w:rPr>
      </w:pPr>
      <w:r>
        <w:rPr>
          <w:sz w:val="20"/>
          <w:szCs w:val="20"/>
        </w:rPr>
        <w:t xml:space="preserve">Организовать наблюдение за состоянием «Комплекса», установленного на «Объекте» «Клиента», переданного под наблюдение в установленном порядке, в целях скорейшего выявления попыток проникновения посторонних лиц на «Объект», пресечения преступлений и иных правонарушений и обеспечения сохранности принадлежащих «Клиенту» на праве собственности материальных ценностей. </w:t>
      </w:r>
    </w:p>
    <w:p>
      <w:pPr>
        <w:pStyle w:val="BodyTextIndent3"/>
        <w:numPr>
          <w:ilvl w:val="1"/>
          <w:numId w:val="30"/>
        </w:numPr>
        <w:spacing w:before="0" w:after="0"/>
        <w:ind w:firstLine="720" w:left="0"/>
        <w:jc w:val="both"/>
        <w:rPr>
          <w:sz w:val="20"/>
          <w:szCs w:val="20"/>
        </w:rPr>
      </w:pPr>
      <w:r>
        <w:rPr>
          <w:sz w:val="20"/>
          <w:szCs w:val="20"/>
        </w:rPr>
        <w:t>При срабатывании средств сигнализации осуществить выезд наряда войск национальной гвардии на охраняемый «Объект» для установления причин срабатывания сигнализации, сообщить об этом «Клиенту» или уполномоченному им лицу по телефону.</w:t>
      </w:r>
    </w:p>
    <w:p>
      <w:pPr>
        <w:pStyle w:val="BodyTextIndent3"/>
        <w:numPr>
          <w:ilvl w:val="1"/>
          <w:numId w:val="31"/>
        </w:numPr>
        <w:spacing w:before="0" w:after="0"/>
        <w:ind w:firstLine="720" w:left="0"/>
        <w:jc w:val="both"/>
        <w:rPr>
          <w:sz w:val="20"/>
          <w:szCs w:val="20"/>
        </w:rPr>
      </w:pPr>
      <w:r>
        <w:rPr>
          <w:sz w:val="20"/>
          <w:szCs w:val="20"/>
        </w:rPr>
        <w:t xml:space="preserve">По прибытии на «Объект» сотрудники наряда войск национальной гвардии в соответствии с Федеральным Законом «О войсках национальной гвардии Российской Федерации», иными нормативно-правовыми актами Российской Федерации предпринимают меры по выяснению причин срабатывания сигнализации, пресечению совершаемых преступлений и иных правонарушений и задержанию виновных лиц. </w:t>
      </w:r>
    </w:p>
    <w:p>
      <w:pPr>
        <w:pStyle w:val="BodyTextIndent3"/>
        <w:numPr>
          <w:ilvl w:val="1"/>
          <w:numId w:val="32"/>
        </w:numPr>
        <w:spacing w:before="0" w:after="0"/>
        <w:ind w:firstLine="720" w:left="0"/>
        <w:jc w:val="both"/>
        <w:rPr>
          <w:sz w:val="20"/>
          <w:szCs w:val="20"/>
        </w:rPr>
      </w:pPr>
      <w:bookmarkStart w:id="1" w:name="_Ref130109322"/>
      <w:r>
        <w:rPr>
          <w:sz w:val="20"/>
          <w:szCs w:val="20"/>
        </w:rPr>
        <w:t>При отсутствии признаков нарушения целостности «Объекта» и проникновения на него посторонних лиц, осуществить «перезакрытие» «Объекта» в установленном порядке. По факту вскрытия и осмотра «Объекта» нарядом войск национальной гвардии при срабатывании средств сигнализации, «Охрана» предоставляет «Клиенту» экземпляр акта установленного образца. При невозможности самостоятельного вскрытия, осмотра либо «перезакрытия» «Объекта» сотрудниками «Охраны» (в случае отсутствия ключей (кодов) либо их несоответствия запорным устройствам «Объекта», подъезда или холла, наличия на «Объекте» опасных животных и т.п.), произвести наружный осмотр «Объекта» и незамедлительно сообщить по телефону «Клиенту» (его доверенному лицу) о необходимости прибытия на «Объект».</w:t>
      </w:r>
      <w:bookmarkEnd w:id="1"/>
    </w:p>
    <w:p>
      <w:pPr>
        <w:pStyle w:val="BodyTextIndent3"/>
        <w:numPr>
          <w:ilvl w:val="1"/>
          <w:numId w:val="33"/>
        </w:numPr>
        <w:spacing w:before="0" w:after="0"/>
        <w:ind w:firstLine="720" w:left="0"/>
        <w:jc w:val="both"/>
        <w:rPr>
          <w:sz w:val="20"/>
          <w:szCs w:val="20"/>
        </w:rPr>
      </w:pPr>
      <w:bookmarkStart w:id="2" w:name="_Ref130109337"/>
      <w:r>
        <w:rPr>
          <w:sz w:val="20"/>
          <w:szCs w:val="20"/>
        </w:rPr>
        <w:t>При наличии признаков нарушения целостности «Объекта» сообщить об этом в дежурную часть территориального ОМВД  и «Клиенту» либо его уполномоченному представителю. До прибытия «Клиента» «Охрана» обеспечивает неприкосновенность места происшествия. По прибытии «Охрана» и «Клиент» составляют входной акт о факте нарушения целостности «Объекта».</w:t>
      </w:r>
      <w:bookmarkEnd w:id="2"/>
      <w:r>
        <w:rPr>
          <w:sz w:val="20"/>
          <w:szCs w:val="20"/>
        </w:rPr>
        <w:t xml:space="preserve">  </w:t>
      </w:r>
    </w:p>
    <w:p>
      <w:pPr>
        <w:pStyle w:val="BodyTextIndent3"/>
        <w:numPr>
          <w:ilvl w:val="1"/>
          <w:numId w:val="34"/>
        </w:numPr>
        <w:spacing w:before="0" w:after="0"/>
        <w:ind w:firstLine="720" w:left="0"/>
        <w:jc w:val="both"/>
        <w:rPr>
          <w:sz w:val="20"/>
          <w:szCs w:val="20"/>
        </w:rPr>
      </w:pPr>
      <w:r>
        <w:rPr>
          <w:sz w:val="20"/>
          <w:szCs w:val="20"/>
          <w:highlight w:val="white"/>
        </w:rPr>
        <w:t>В случае если ни по одному из указанных «Клиентом» телефонов «Охрана» не застает самого «Клиента», его доверенных лиц, уполномоченных участвовать в «перезакрытии» и осмотре «Объекта» (в целях уведомления в порядке п.</w:t>
      </w:r>
      <w:r>
        <w:rPr>
          <w:sz w:val="24"/>
          <w:szCs w:val="24"/>
          <w:highlight w:val="white"/>
        </w:rPr>
        <w:t xml:space="preserve"> </w:t>
      </w:r>
      <w:r>
        <w:rPr>
          <w:sz w:val="20"/>
          <w:szCs w:val="20"/>
          <w:highlight w:val="white"/>
        </w:rPr>
        <w:fldChar w:fldCharType="begin"/>
      </w:r>
      <w:r>
        <w:rPr>
          <w:sz w:val="20"/>
          <w:szCs w:val="20"/>
          <w:highlight w:val="white"/>
        </w:rPr>
        <w:instrText xml:space="preserve"> REF _Ref130109322 \w \w \h </w:instrText>
      </w:r>
      <w:r>
        <w:rPr>
          <w:sz w:val="20"/>
          <w:szCs w:val="20"/>
          <w:highlight w:val="white"/>
        </w:rPr>
        <w:fldChar w:fldCharType="separate"/>
      </w:r>
      <w:r>
        <w:rPr>
          <w:sz w:val="20"/>
          <w:szCs w:val="20"/>
          <w:highlight w:val="white"/>
        </w:rPr>
        <w:t>3.4</w:t>
      </w:r>
      <w:r>
        <w:rPr>
          <w:sz w:val="20"/>
          <w:szCs w:val="20"/>
          <w:highlight w:val="white"/>
        </w:rPr>
        <w:fldChar w:fldCharType="end"/>
      </w:r>
      <w:r>
        <w:rPr>
          <w:sz w:val="20"/>
          <w:szCs w:val="20"/>
          <w:highlight w:val="white"/>
        </w:rPr>
        <w:t xml:space="preserve">, </w:t>
      </w:r>
      <w:r>
        <w:rPr>
          <w:sz w:val="20"/>
          <w:szCs w:val="20"/>
          <w:highlight w:val="white"/>
        </w:rPr>
        <w:fldChar w:fldCharType="begin"/>
      </w:r>
      <w:r>
        <w:rPr>
          <w:sz w:val="20"/>
          <w:szCs w:val="20"/>
          <w:highlight w:val="white"/>
        </w:rPr>
        <w:instrText xml:space="preserve"> REF _Ref130109337 \w \w \h </w:instrText>
      </w:r>
      <w:r>
        <w:rPr>
          <w:sz w:val="20"/>
          <w:szCs w:val="20"/>
          <w:highlight w:val="white"/>
        </w:rPr>
        <w:fldChar w:fldCharType="separate"/>
      </w:r>
      <w:r>
        <w:rPr>
          <w:sz w:val="20"/>
          <w:szCs w:val="20"/>
          <w:highlight w:val="white"/>
        </w:rPr>
        <w:t>3.5</w:t>
      </w:r>
      <w:r>
        <w:rPr>
          <w:sz w:val="20"/>
          <w:szCs w:val="20"/>
          <w:highlight w:val="white"/>
        </w:rPr>
        <w:fldChar w:fldCharType="end"/>
      </w:r>
      <w:r>
        <w:rPr>
          <w:sz w:val="24"/>
          <w:szCs w:val="24"/>
          <w:highlight w:val="white"/>
        </w:rPr>
        <w:t xml:space="preserve">. </w:t>
      </w:r>
      <w:r>
        <w:rPr>
          <w:sz w:val="20"/>
          <w:szCs w:val="20"/>
          <w:highlight w:val="white"/>
        </w:rPr>
        <w:t xml:space="preserve">Договора), либо уведомленное «Охраной» доверенное лицо «Клиента» не прибывает на «Объект» для его «перезакрытия» или осмотра в течение одного часа с момента уведомления, а равно, если по причинам, не зависящим от «Охраны» «перезакрытие» или осмотр «Объекта» по прибытии доверенного лица «Клиента» невозможно (например, </w:t>
      </w:r>
      <w:r>
        <w:rPr>
          <w:sz w:val="20"/>
          <w:szCs w:val="20"/>
        </w:rPr>
        <w:t xml:space="preserve">при отключении на «Объекте» электроэнергии, повреждении канала </w:t>
      </w:r>
      <w:r>
        <w:rPr>
          <w:sz w:val="20"/>
          <w:szCs w:val="20"/>
          <w:lang w:val="en-US"/>
        </w:rPr>
        <w:t>GSM</w:t>
      </w:r>
      <w:r>
        <w:rPr>
          <w:sz w:val="20"/>
          <w:szCs w:val="20"/>
        </w:rPr>
        <w:t xml:space="preserve"> связи, пожаре, нарушении или разрушении элементов конструкции «Объекта», отсутствие у данного лица ключей от «Объекта» и т.п.), обязанности «Охраны»  по настоящему договору считаются выполненными, наряд войск национальной гвардии покидает «Объект», с которого поступил тревожный сигнал, а сам «Объект» считается снятым с охраны</w:t>
      </w:r>
      <w:r>
        <w:rPr>
          <w:i/>
          <w:sz w:val="20"/>
          <w:szCs w:val="20"/>
        </w:rPr>
        <w:t xml:space="preserve">, </w:t>
      </w:r>
      <w:r>
        <w:rPr>
          <w:sz w:val="20"/>
          <w:szCs w:val="20"/>
        </w:rPr>
        <w:t xml:space="preserve">при этом ответственность за сохранность товарно-материальных ценностей на «Объекте» в указанных настоящим пунктом случаях возлагается на самого «Клиента». </w:t>
      </w:r>
    </w:p>
    <w:p>
      <w:pPr>
        <w:pStyle w:val="BodyTextIndent3"/>
        <w:numPr>
          <w:ilvl w:val="1"/>
          <w:numId w:val="35"/>
        </w:numPr>
        <w:spacing w:before="0" w:after="0"/>
        <w:ind w:firstLine="720" w:left="0"/>
        <w:jc w:val="both"/>
        <w:rPr>
          <w:sz w:val="20"/>
          <w:szCs w:val="20"/>
        </w:rPr>
      </w:pPr>
      <w:r>
        <w:rPr>
          <w:sz w:val="20"/>
          <w:szCs w:val="20"/>
        </w:rPr>
        <w:t>Обеспечить сохранность комплекта ключей, предоставленных «Клиентом», а при расторжении договора возвратить их обратно «Клиенту». Невостребованные в течение трех месяцев ключи уничтожить по акту.</w:t>
      </w:r>
    </w:p>
    <w:p>
      <w:pPr>
        <w:pStyle w:val="BodyTextIndent3"/>
        <w:numPr>
          <w:ilvl w:val="1"/>
          <w:numId w:val="36"/>
        </w:numPr>
        <w:spacing w:before="0" w:after="0"/>
        <w:ind w:firstLine="720" w:left="0"/>
        <w:jc w:val="both"/>
        <w:rPr>
          <w:sz w:val="20"/>
          <w:szCs w:val="20"/>
        </w:rPr>
      </w:pPr>
      <w:r>
        <w:rPr>
          <w:sz w:val="20"/>
          <w:szCs w:val="20"/>
        </w:rPr>
        <w:t xml:space="preserve">Консультировать «Клиента» по вопросам правил пользования системой </w:t>
      </w:r>
      <w:r>
        <w:rPr>
          <w:sz w:val="20"/>
          <w:szCs w:val="20"/>
          <w:highlight w:val="darkYellow"/>
        </w:rPr>
        <w:t>ОПС</w:t>
      </w:r>
      <w:r>
        <w:rPr>
          <w:sz w:val="20"/>
          <w:szCs w:val="20"/>
        </w:rPr>
        <w:t xml:space="preserve"> на  «Объекта».</w:t>
      </w:r>
    </w:p>
    <w:p>
      <w:pPr>
        <w:pStyle w:val="Normal"/>
        <w:numPr>
          <w:ilvl w:val="0"/>
          <w:numId w:val="37"/>
        </w:numPr>
        <w:ind w:hanging="0" w:left="0"/>
        <w:jc w:val="center"/>
        <w:rPr>
          <w:b/>
        </w:rPr>
      </w:pPr>
      <w:r>
        <w:rPr>
          <w:b/>
        </w:rPr>
        <w:t>ОБЯЗАННОСТИ «КЛИЕНТА»</w:t>
      </w:r>
    </w:p>
    <w:p>
      <w:pPr>
        <w:pStyle w:val="BodyText3"/>
        <w:numPr>
          <w:ilvl w:val="1"/>
          <w:numId w:val="38"/>
        </w:numPr>
        <w:ind w:firstLine="720" w:left="0"/>
        <w:jc w:val="both"/>
        <w:rPr>
          <w:sz w:val="20"/>
        </w:rPr>
      </w:pPr>
      <w:r>
        <w:rPr>
          <w:sz w:val="20"/>
        </w:rPr>
        <w:t>Перед заключением договора и в течение срока его действия предоставлять «Охране» достоверные сведения, в том числе: номера своего служебного, домашнего либо мобильного телефонов, номера служебных или мобильных телефонов членов семьи, домашние, служебные и сотовые телефоны и адреса доверенных лиц. В случае изменения этих данных «Клиент» в течение суток обязан письменно сообщить об этом «Охране». Установочные данные членов семьи и доверенных лиц «Клиента» указываются в Перечне основных сведений.</w:t>
      </w:r>
    </w:p>
    <w:p>
      <w:pPr>
        <w:pStyle w:val="BodyText3"/>
        <w:numPr>
          <w:ilvl w:val="1"/>
          <w:numId w:val="39"/>
        </w:numPr>
        <w:ind w:firstLine="720" w:left="0"/>
        <w:jc w:val="both"/>
        <w:rPr>
          <w:sz w:val="20"/>
        </w:rPr>
      </w:pPr>
      <w:bookmarkStart w:id="3" w:name="_Ref130109107"/>
      <w:r>
        <w:rPr>
          <w:sz w:val="20"/>
        </w:rPr>
        <w:t>Обеспечить «Охране»  возможность доступа на «Объект» в целях выполнения ими принятых на себя по настоящем</w:t>
      </w:r>
      <w:r>
        <w:rPr>
          <w:sz w:val="20"/>
          <w:highlight w:val="white"/>
        </w:rPr>
        <w:t>у договору обязательств, для чего в частности:</w:t>
      </w:r>
      <w:bookmarkEnd w:id="3"/>
    </w:p>
    <w:p>
      <w:pPr>
        <w:pStyle w:val="BodyText3"/>
        <w:tabs>
          <w:tab w:val="clear" w:pos="720"/>
          <w:tab w:val="left" w:pos="568" w:leader="none"/>
          <w:tab w:val="left" w:pos="2700" w:leader="none"/>
        </w:tabs>
        <w:jc w:val="both"/>
        <w:rPr>
          <w:sz w:val="20"/>
        </w:rPr>
      </w:pPr>
      <w:r>
        <w:rPr>
          <w:sz w:val="20"/>
          <w:highlight w:val="white"/>
        </w:rPr>
        <w:t xml:space="preserve">            </w:t>
      </w:r>
      <w:r>
        <w:rPr>
          <w:sz w:val="20"/>
          <w:highlight w:val="white"/>
        </w:rPr>
        <w:t>4.2.1. При заключении настоящего договора сдать «Охране» под роспись дубликаты ключей от замков и других запорных устройств входных дверей «Объекта» и его помещений, а также запорных устройств входных дверей подъездов и холлов (в случаях предусмотренных пунктами 7, 11 приложения №1 настоящего договора);</w:t>
      </w:r>
    </w:p>
    <w:p>
      <w:pPr>
        <w:pStyle w:val="BodyText3"/>
        <w:tabs>
          <w:tab w:val="clear" w:pos="720"/>
          <w:tab w:val="left" w:pos="2700" w:leader="none"/>
        </w:tabs>
        <w:jc w:val="both"/>
        <w:rPr>
          <w:highlight w:val="white"/>
        </w:rPr>
      </w:pPr>
      <w:r>
        <w:rPr>
          <w:sz w:val="20"/>
          <w:highlight w:val="white"/>
        </w:rPr>
        <w:t xml:space="preserve">            </w:t>
      </w:r>
      <w:r>
        <w:rPr>
          <w:sz w:val="20"/>
          <w:highlight w:val="white"/>
        </w:rPr>
        <w:t>4.2.2. Сообщить коды запорных устройств входных дверей в подъезд и холл;</w:t>
      </w:r>
    </w:p>
    <w:p>
      <w:pPr>
        <w:pStyle w:val="BodyText3"/>
        <w:tabs>
          <w:tab w:val="clear" w:pos="720"/>
          <w:tab w:val="left" w:pos="2700" w:leader="none"/>
        </w:tabs>
        <w:jc w:val="both"/>
        <w:rPr>
          <w:highlight w:val="white"/>
        </w:rPr>
      </w:pPr>
      <w:r>
        <w:rPr>
          <w:sz w:val="20"/>
          <w:highlight w:val="white"/>
        </w:rPr>
        <w:t xml:space="preserve">           </w:t>
      </w:r>
      <w:r>
        <w:rPr>
          <w:sz w:val="20"/>
          <w:highlight w:val="white"/>
        </w:rPr>
        <w:t>4.2.3. При смене замков (в том числе в случае утери ключей, при нарушении целостности замка либо по иным причинам) или кодов запорных устройств, в течение суток сообщить об этом «Охране» и произвести замену дубликатов ключей;</w:t>
      </w:r>
    </w:p>
    <w:p>
      <w:pPr>
        <w:pStyle w:val="BodyText3"/>
        <w:tabs>
          <w:tab w:val="clear" w:pos="720"/>
          <w:tab w:val="left" w:pos="2700" w:leader="none"/>
        </w:tabs>
        <w:jc w:val="both"/>
        <w:rPr>
          <w:sz w:val="20"/>
        </w:rPr>
      </w:pPr>
      <w:r>
        <w:rPr>
          <w:sz w:val="20"/>
        </w:rPr>
        <w:t xml:space="preserve">             </w:t>
      </w:r>
      <w:r>
        <w:rPr>
          <w:sz w:val="20"/>
        </w:rPr>
        <w:t>4.2.4. Сообщить «Охране» о наличии в квартире домашних животных.</w:t>
      </w:r>
    </w:p>
    <w:p>
      <w:pPr>
        <w:pStyle w:val="BodyText3"/>
        <w:numPr>
          <w:ilvl w:val="1"/>
          <w:numId w:val="40"/>
        </w:numPr>
        <w:ind w:firstLine="720" w:left="0"/>
        <w:jc w:val="both"/>
        <w:rPr>
          <w:sz w:val="20"/>
        </w:rPr>
      </w:pPr>
      <w:r>
        <w:rPr>
          <w:sz w:val="20"/>
        </w:rPr>
        <w:t xml:space="preserve">Строго соблюдать установленные настоящим договором и «Инструкцией» правила пользования ТСО (в том числе довести данные правила до членов своей семьи, иных лиц, совместно проживающих с «Клиентом», доверенных лиц), не вносить изменения в схему блокирования «Объекта», не производить замену приборов и датчиков, не допускать к средствам сигнализации посторонних лиц, своевременно сообщать «Охране»  о возникших неисправностях ТСО. Выполнять требования «Охраны»  по технической укреплённости и оснащенности «Объекта» ТСО, обеспечить стабильное снабжение электроэнергией технические средства охраны, а также предоставлять «Охране» в исправном состоянии каналы связи. </w:t>
      </w:r>
    </w:p>
    <w:p>
      <w:pPr>
        <w:pStyle w:val="Normal"/>
        <w:jc w:val="both"/>
        <w:rPr/>
      </w:pPr>
      <w:r>
        <w:rPr/>
        <w:t xml:space="preserve">               </w:t>
      </w:r>
      <w:r>
        <w:rPr/>
        <w:t xml:space="preserve">4.4. Не разглашать посторонним лицам принципы, систему наблюдения, правила пользования сигнализацией и установленный номер объекта, код снятия и постановки, не передавать посторонним лицам ключ TOUCH MEMORY </w:t>
      </w:r>
    </w:p>
    <w:p>
      <w:pPr>
        <w:pStyle w:val="Normal"/>
        <w:jc w:val="both"/>
        <w:rPr/>
      </w:pPr>
      <w:r>
        <w:rPr/>
        <w:t>При потере ключа TOUCH MEMORY  «Клиент» незамедлительно сообщает на ПЦН, немедленно прибывает на объект для вскрытия его совместно с нарядом войск национальной гвардии.</w:t>
      </w:r>
    </w:p>
    <w:p>
      <w:pPr>
        <w:pStyle w:val="BodyText3"/>
        <w:widowControl/>
        <w:numPr>
          <w:ilvl w:val="1"/>
          <w:numId w:val="1"/>
        </w:numPr>
        <w:suppressAutoHyphens w:val="true"/>
        <w:bidi w:val="0"/>
        <w:spacing w:before="0" w:after="0"/>
        <w:ind w:firstLine="680" w:left="0" w:right="0"/>
        <w:jc w:val="both"/>
        <w:rPr>
          <w:sz w:val="20"/>
        </w:rPr>
      </w:pPr>
      <w:r>
        <w:rPr>
          <w:sz w:val="20"/>
        </w:rPr>
        <w:t>Производить проверку работоспособности сигнализации путем пробной сдачи «Объекта» под охрану в случае, если сдача «Объекта» под охрану не производилась в течение пяти суток и более, либо перед сдачей «Объекта» под охрану на срок более двух суток.</w:t>
      </w:r>
    </w:p>
    <w:p>
      <w:pPr>
        <w:pStyle w:val="BodyText3"/>
        <w:widowControl/>
        <w:numPr>
          <w:ilvl w:val="1"/>
          <w:numId w:val="1"/>
        </w:numPr>
        <w:tabs>
          <w:tab w:val="clear" w:pos="720"/>
          <w:tab w:val="left" w:pos="450" w:leader="none"/>
        </w:tabs>
        <w:suppressAutoHyphens w:val="true"/>
        <w:bidi w:val="0"/>
        <w:spacing w:before="0" w:after="0"/>
        <w:ind w:hanging="340" w:left="794" w:right="0"/>
        <w:jc w:val="both"/>
        <w:rPr>
          <w:sz w:val="20"/>
          <w:u w:val="single"/>
        </w:rPr>
      </w:pPr>
      <w:r>
        <w:rPr>
          <w:sz w:val="20"/>
        </w:rPr>
        <w:t>После сдачи «Объекта» под охрану «Клиент» должен убедиться в том, что система сигнализации «Объекта» подключилась на ПЦН «Охраны».</w:t>
      </w:r>
    </w:p>
    <w:p>
      <w:pPr>
        <w:pStyle w:val="BodyText3"/>
        <w:numPr>
          <w:ilvl w:val="1"/>
          <w:numId w:val="1"/>
        </w:numPr>
        <w:ind w:firstLine="720" w:left="0"/>
        <w:jc w:val="both"/>
        <w:rPr>
          <w:sz w:val="20"/>
          <w:u w:val="single"/>
        </w:rPr>
      </w:pPr>
      <w:r>
        <w:rPr>
          <w:sz w:val="20"/>
          <w:shd w:fill="FFFFFF" w:val="clear"/>
        </w:rPr>
        <w:t>В случае не подключения «Объекта» на ПЦН «Охраны» по причине неисправности каналов передачи данных (неисправности установленного на «Объекте» передающего устройства, отсутствие функционирования канала GSM связи (в том числе по причине недостаточного количества денежных средств на счетах SIM – карт), отсутствия электропитани</w:t>
      </w:r>
      <w:r>
        <w:rPr>
          <w:sz w:val="20"/>
          <w:highlight w:val="white"/>
        </w:rPr>
        <w:t>я, в</w:t>
      </w:r>
      <w:r>
        <w:rPr>
          <w:sz w:val="20"/>
        </w:rPr>
        <w:t xml:space="preserve">ыхода из строя ТСО по вине «Клиента» или третьих лиц, а также при возникновении иных обстоятельств, не зависящих от «Охраны»  и препятствующих выполнению ими обязанностей по договору, «Клиент» обязан организовать охрану «Объекта» собственными силами до устранения неисправностей. </w:t>
      </w:r>
    </w:p>
    <w:p>
      <w:pPr>
        <w:pStyle w:val="BodyText3"/>
        <w:numPr>
          <w:ilvl w:val="1"/>
          <w:numId w:val="1"/>
        </w:numPr>
        <w:ind w:firstLine="720" w:left="0"/>
        <w:jc w:val="both"/>
        <w:rPr>
          <w:sz w:val="20"/>
          <w:u w:val="single"/>
        </w:rPr>
      </w:pPr>
      <w:r>
        <w:rPr>
          <w:sz w:val="20"/>
        </w:rPr>
        <w:t>При нарушении целостности «Объекта» (обнаружении признаков проникновения посторонних лиц) или невозможности его самостоятельного «перезакрытия» сотрудниками «Охраны» не позднее одного часа с момента уведомления «Охраной» прибыть на «Объект» либо обеспечить прибытие на него своего представителя, уполномоченного участвовать в «перезакрытии» и осмотре «Объекта». Обеспечить доступ во все помещения «Объекта» для их осмотра.</w:t>
      </w:r>
    </w:p>
    <w:p>
      <w:pPr>
        <w:pStyle w:val="BodyText3"/>
        <w:numPr>
          <w:ilvl w:val="1"/>
          <w:numId w:val="1"/>
        </w:numPr>
        <w:ind w:firstLine="720" w:left="0"/>
        <w:jc w:val="both"/>
        <w:rPr>
          <w:sz w:val="20"/>
          <w:u w:val="single"/>
        </w:rPr>
      </w:pPr>
      <w:r>
        <w:rPr>
          <w:sz w:val="20"/>
        </w:rPr>
        <w:t>При обнаружении признаков проникновения на «Объект» посторонних лиц немедленно информировать об этом «Охрану», до прибытия сотрудников полиции не входить на «Объект» и не нарушать расположение материальных ценностей.</w:t>
      </w:r>
    </w:p>
    <w:p>
      <w:pPr>
        <w:pStyle w:val="BodyText3"/>
        <w:numPr>
          <w:ilvl w:val="1"/>
          <w:numId w:val="1"/>
        </w:numPr>
        <w:ind w:firstLine="720" w:left="0"/>
        <w:jc w:val="both"/>
        <w:rPr>
          <w:sz w:val="20"/>
          <w:u w:val="single"/>
        </w:rPr>
      </w:pPr>
      <w:r>
        <w:rPr>
          <w:sz w:val="20"/>
        </w:rPr>
        <w:t>Заблаговременно сообщить «Охране» о проведении ремонтных работ на «Объекте». На время проведения ремонта охрана «Объекта» осуществляется «Клиентом» самостоятельно.</w:t>
      </w:r>
    </w:p>
    <w:p>
      <w:pPr>
        <w:pStyle w:val="BodyText3"/>
        <w:numPr>
          <w:ilvl w:val="1"/>
          <w:numId w:val="1"/>
        </w:numPr>
        <w:ind w:firstLine="720" w:left="0"/>
        <w:jc w:val="both"/>
        <w:rPr>
          <w:sz w:val="20"/>
          <w:u w:val="single"/>
        </w:rPr>
      </w:pPr>
      <w:r>
        <w:rPr>
          <w:sz w:val="20"/>
        </w:rPr>
        <w:t xml:space="preserve">Письменно уведомить «Охрану» о переходе «Объекта» в коммунальное пользование, смене собственника (нанимателя), сдаче в аренду, залоге (ипотеке) «Объекта», использовании его для извлечения прибыли (в предпринимательских целях), возникновении спора в отношении права собственности на «Объект», порядка пользования или владения им. </w:t>
      </w:r>
    </w:p>
    <w:p>
      <w:pPr>
        <w:pStyle w:val="BodyText3"/>
        <w:numPr>
          <w:ilvl w:val="1"/>
          <w:numId w:val="1"/>
        </w:numPr>
        <w:ind w:firstLine="720" w:left="0"/>
        <w:jc w:val="both"/>
        <w:rPr>
          <w:sz w:val="20"/>
        </w:rPr>
      </w:pPr>
      <w:r>
        <w:rPr>
          <w:sz w:val="20"/>
        </w:rPr>
        <w:t>Своевременно осуществлять оплату услуг «Охраны» согласно условиям раздела 7. договора. При сдаче «О</w:t>
      </w:r>
      <w:r>
        <w:rPr>
          <w:sz w:val="20"/>
          <w:highlight w:val="white"/>
        </w:rPr>
        <w:t xml:space="preserve">бъекта» под охрану на срок более одного месяца, оплата производится за весь предполагаемый период наблюдения. </w:t>
      </w:r>
    </w:p>
    <w:p>
      <w:pPr>
        <w:pStyle w:val="BodyText3"/>
        <w:numPr>
          <w:ilvl w:val="1"/>
          <w:numId w:val="1"/>
        </w:numPr>
        <w:ind w:firstLine="720" w:left="0"/>
        <w:jc w:val="both"/>
        <w:rPr>
          <w:highlight w:val="white"/>
        </w:rPr>
      </w:pPr>
      <w:r>
        <w:rPr>
          <w:sz w:val="20"/>
          <w:highlight w:val="white"/>
        </w:rPr>
        <w:t>Оплатить «Охране» расходы, связанные с выездами нарядов войск национальной гвардии вследствие поступления с объекта ложного сигнала тревоги из-за нарушений правил пользования средствами сигнализации Клиентом и другими лицами, имеющими на то право в соответствии с условиями договора (неправильный порядок закрытия «Объекта», несоблюдение порядка постановки «Объекта» под охрану, несвоевременное снятие «Объекта» с охраны и т.п.).</w:t>
      </w:r>
    </w:p>
    <w:p>
      <w:pPr>
        <w:pStyle w:val="BodyText3"/>
        <w:numPr>
          <w:ilvl w:val="1"/>
          <w:numId w:val="1"/>
        </w:numPr>
        <w:ind w:firstLine="720" w:left="0"/>
        <w:jc w:val="both"/>
        <w:rPr>
          <w:sz w:val="20"/>
        </w:rPr>
      </w:pPr>
      <w:bookmarkStart w:id="4" w:name="_Ref130109212"/>
      <w:r>
        <w:rPr>
          <w:sz w:val="20"/>
          <w:highlight w:val="white"/>
        </w:rPr>
        <w:t>Оплатить обслуживающей организации расходы, связанные с ремонтом ТСО, вышедших из строя по вине «Клиента», членов его семьи, лиц совместно с ним проживающих или доверенных лиц, а также расходы, связанные с заменой (капитальным ремонтом) существующей системы сигнализации в связи с истечением срока ее эксплуатации или необходимостью м</w:t>
      </w:r>
      <w:r>
        <w:rPr>
          <w:sz w:val="20"/>
        </w:rPr>
        <w:t>одернизации.</w:t>
      </w:r>
      <w:bookmarkEnd w:id="4"/>
    </w:p>
    <w:p>
      <w:pPr>
        <w:pStyle w:val="BodyText3"/>
        <w:numPr>
          <w:ilvl w:val="1"/>
          <w:numId w:val="1"/>
        </w:numPr>
        <w:ind w:firstLine="720" w:left="0"/>
        <w:jc w:val="both"/>
        <w:rPr>
          <w:sz w:val="20"/>
        </w:rPr>
      </w:pPr>
      <w:bookmarkStart w:id="5" w:name="_Ref130109250"/>
      <w:r>
        <w:rPr>
          <w:sz w:val="20"/>
        </w:rPr>
        <w:t>При эксплуатации ТСО свыше установленного срока их эксплуатации, при изменении ее технических характеристик (в результате воздействия внешних факторов и т.д.) либо необходимости ее модернизации обеспечить проведение их капитального ремонта (замену).</w:t>
      </w:r>
      <w:bookmarkEnd w:id="5"/>
    </w:p>
    <w:p>
      <w:pPr>
        <w:pStyle w:val="BodyText3"/>
        <w:numPr>
          <w:ilvl w:val="1"/>
          <w:numId w:val="1"/>
        </w:numPr>
        <w:tabs>
          <w:tab w:val="clear" w:pos="720"/>
          <w:tab w:val="left" w:pos="1070" w:leader="none"/>
        </w:tabs>
        <w:ind w:firstLine="709" w:left="0"/>
        <w:jc w:val="both"/>
        <w:rPr>
          <w:sz w:val="20"/>
        </w:rPr>
      </w:pPr>
      <w:r>
        <w:rPr>
          <w:sz w:val="20"/>
        </w:rPr>
        <w:t xml:space="preserve">. При расторжении (приостановлении действия) договора «Клиент» обязан письменно уведомить об этом «Охрану» и обслуживающую организацию не менее чем за 10 рабочих дней до даты предполагаемого расторжения (приостановления). Оплачивать оказываемые по настоящему договору услуги в порядке и сроки, установленные разделом 9 настоящего договора. </w:t>
      </w:r>
    </w:p>
    <w:p>
      <w:pPr>
        <w:pStyle w:val="BodyText3"/>
        <w:numPr>
          <w:ilvl w:val="1"/>
          <w:numId w:val="1"/>
        </w:numPr>
        <w:tabs>
          <w:tab w:val="clear" w:pos="720"/>
          <w:tab w:val="left" w:pos="709" w:leader="none"/>
          <w:tab w:val="left" w:pos="1070" w:leader="none"/>
        </w:tabs>
        <w:ind w:firstLine="709" w:left="0"/>
        <w:jc w:val="both"/>
        <w:rPr>
          <w:sz w:val="20"/>
        </w:rPr>
      </w:pPr>
      <w:r>
        <w:rPr>
          <w:sz w:val="20"/>
        </w:rPr>
        <w:t>. В случае использования систем передачи извещений, использующих канал связи GSM, обеспечить их двумя SIM - картами разных операторов сотовой связи рекомендованных «Охраной» с положительным балансом не менее 150 (сто пятьдесят) рублей на каждой, с указанием телефонных номеров.Проводить сверку с операторами услуг сотовой связи о наличии на счетах SIM – карт положительного баланса, при недостаточном количестве денежных средств на счетах обеспечивать своевременное пополнение. При приостановке (расторжении) договора на охрану в обязательном порядке вызвать электромонтёра, для извлечения SIM – карт из объектового блока и его полного отключения от электропитания в целях избежания перерасхода денежных средств.</w:t>
      </w:r>
    </w:p>
    <w:p>
      <w:pPr>
        <w:pStyle w:val="Normal"/>
        <w:numPr>
          <w:ilvl w:val="0"/>
          <w:numId w:val="0"/>
        </w:numPr>
        <w:tabs>
          <w:tab w:val="clear" w:pos="720"/>
          <w:tab w:val="left" w:pos="709" w:leader="none"/>
          <w:tab w:val="left" w:pos="1070" w:leader="none"/>
        </w:tabs>
        <w:spacing w:before="0" w:after="0"/>
        <w:ind w:hanging="0" w:left="0" w:right="0"/>
        <w:jc w:val="both"/>
        <w:rPr>
          <w:sz w:val="20"/>
        </w:rPr>
      </w:pPr>
      <w:r>
        <w:rPr>
          <w:sz w:val="20"/>
        </w:rPr>
        <w:tab/>
        <w:t>4.18. Клиент обязан заключить Договор на техническое обслуживание и капитальный ремонт технических средств охранной сигнализации в соответствии с п. 1.2. настоящего договора.</w:t>
      </w:r>
    </w:p>
    <w:p>
      <w:pPr>
        <w:pStyle w:val="Normal"/>
        <w:numPr>
          <w:ilvl w:val="0"/>
          <w:numId w:val="1"/>
        </w:numPr>
        <w:ind w:hanging="0" w:left="0"/>
        <w:jc w:val="center"/>
        <w:rPr>
          <w:b/>
        </w:rPr>
      </w:pPr>
      <w:r>
        <w:rPr>
          <w:b/>
        </w:rPr>
        <w:t>ПРАВА «ОХРАНЫ»</w:t>
      </w:r>
    </w:p>
    <w:p>
      <w:pPr>
        <w:pStyle w:val="BodyText3"/>
        <w:ind w:firstLine="750"/>
        <w:jc w:val="both"/>
        <w:rPr>
          <w:sz w:val="20"/>
        </w:rPr>
      </w:pPr>
      <w:r>
        <w:rPr>
          <w:bCs/>
          <w:sz w:val="20"/>
        </w:rPr>
        <w:t>5.1. С целью выявления и устранения причин, вызвавших срабатывание сигнализации на «Объекте», производить вскрытие «Объекта» с помощью комплекта ключей, предоставленных «Клиентом», и его осмотр в присутствии понятых или без таковых (по желанию «Клиента») с составлением акта установленного образца, если этому не препятствует нахождение на «Объекте» опасного животного (собаки и т.п.)</w:t>
      </w:r>
      <w:r>
        <w:rPr>
          <w:sz w:val="20"/>
        </w:rPr>
        <w:t>. Самостоятельно производить «перезакрытие» «Объекта» после поступления сигнала «тревога» или не взятия «Объекта» под охрану.</w:t>
      </w:r>
    </w:p>
    <w:p>
      <w:pPr>
        <w:pStyle w:val="BodyText3"/>
        <w:ind w:firstLine="750"/>
        <w:jc w:val="both"/>
        <w:rPr>
          <w:sz w:val="20"/>
        </w:rPr>
      </w:pPr>
      <w:r>
        <w:rPr>
          <w:sz w:val="20"/>
        </w:rPr>
        <w:t>5.2. Давать «Клиенту» обязательные указания, касающиеся технической укрепленности «Объекта» и оснащенности его ТСО (в том числе необходимости модернизации ТСО) в соответствии с действующими в системе ФСВНГ РФ требованиями , предъявляемыми к местам хранения имущества граждан.</w:t>
      </w:r>
    </w:p>
    <w:p>
      <w:pPr>
        <w:pStyle w:val="BodyText3"/>
        <w:ind w:firstLine="750"/>
        <w:jc w:val="both"/>
        <w:rPr>
          <w:sz w:val="20"/>
        </w:rPr>
      </w:pPr>
      <w:r>
        <w:rPr>
          <w:sz w:val="20"/>
        </w:rPr>
        <w:t>5.3. Приостанавливать действие настоящего договора или расторгать его в одностороннем порядке с письменным уведомлением «Клиента»  в случаях, если:</w:t>
      </w:r>
    </w:p>
    <w:p>
      <w:pPr>
        <w:pStyle w:val="BodyText3"/>
        <w:tabs>
          <w:tab w:val="clear" w:pos="720"/>
          <w:tab w:val="left" w:pos="2700" w:leader="none"/>
        </w:tabs>
        <w:jc w:val="both"/>
        <w:rPr>
          <w:sz w:val="20"/>
        </w:rPr>
      </w:pPr>
      <w:r>
        <w:rPr>
          <w:sz w:val="20"/>
        </w:rPr>
        <w:t xml:space="preserve">               </w:t>
      </w:r>
      <w:r>
        <w:rPr>
          <w:sz w:val="20"/>
        </w:rPr>
        <w:t>5.3.1. Дубликаты ключей или сообщенные коды не соответствуют замкам, запорным устройствам (их кодам) либо элементы технической укрепленности «Объекта», а также ТСО требуют ремонта или замены.</w:t>
      </w:r>
    </w:p>
    <w:p>
      <w:pPr>
        <w:pStyle w:val="BodyText3"/>
        <w:tabs>
          <w:tab w:val="clear" w:pos="720"/>
          <w:tab w:val="left" w:pos="2700" w:leader="none"/>
        </w:tabs>
        <w:jc w:val="both"/>
        <w:rPr>
          <w:sz w:val="20"/>
        </w:rPr>
      </w:pPr>
      <w:r>
        <w:rPr>
          <w:sz w:val="20"/>
        </w:rPr>
        <w:t xml:space="preserve">               </w:t>
      </w:r>
      <w:r>
        <w:rPr>
          <w:sz w:val="20"/>
        </w:rPr>
        <w:t>5.3.2. «Клиент» имеет задолженность по оплате услуг «Охраны» более двух месяцев либо задолженность по оплате за выезд наряда войск национальной гвардии вследствие поступления с «Объекта» ложного сигнала тревоги по вине «Клиента» (его доверенных лиц).</w:t>
      </w:r>
      <w:r>
        <w:rPr/>
        <w:t xml:space="preserve"> </w:t>
      </w:r>
      <w:r>
        <w:rPr>
          <w:sz w:val="20"/>
        </w:rPr>
        <w:t>Имеется задолженность за использование услуг GSM связи на счетах SIM - карт операторов  по которым осуществляется контроль за средствами сигнализации на «Объекте» (для систем передачи извещений использующих канал связи GSM).</w:t>
      </w:r>
    </w:p>
    <w:p>
      <w:pPr>
        <w:pStyle w:val="BodyText3"/>
        <w:tabs>
          <w:tab w:val="clear" w:pos="720"/>
          <w:tab w:val="left" w:pos="2700" w:leader="none"/>
        </w:tabs>
        <w:jc w:val="both"/>
        <w:rPr>
          <w:sz w:val="20"/>
        </w:rPr>
      </w:pPr>
      <w:r>
        <w:rPr>
          <w:sz w:val="20"/>
        </w:rPr>
        <w:t xml:space="preserve">               </w:t>
      </w:r>
      <w:r>
        <w:rPr>
          <w:sz w:val="20"/>
        </w:rPr>
        <w:t>5.3.3. Возникли технические причины, препятствующие осуществлению «Охраной» контроля за «Объектом»  замена системы централизованного наблюдения, ликвидация ПЦН и др.)</w:t>
      </w:r>
    </w:p>
    <w:p>
      <w:pPr>
        <w:pStyle w:val="BodyText3"/>
        <w:tabs>
          <w:tab w:val="clear" w:pos="720"/>
          <w:tab w:val="left" w:pos="2700" w:leader="none"/>
        </w:tabs>
        <w:jc w:val="both"/>
        <w:rPr>
          <w:sz w:val="20"/>
          <w:u w:val="single"/>
        </w:rPr>
      </w:pPr>
      <w:r>
        <w:rPr>
          <w:sz w:val="20"/>
        </w:rPr>
        <w:t xml:space="preserve">               </w:t>
      </w:r>
      <w:r>
        <w:rPr>
          <w:sz w:val="20"/>
        </w:rPr>
        <w:t xml:space="preserve">5.3.4. </w:t>
      </w:r>
      <w:bookmarkStart w:id="6" w:name="_Ref131306191"/>
      <w:r>
        <w:rPr>
          <w:sz w:val="20"/>
        </w:rPr>
        <w:t>«Клиент», члены его семьи, лица, совместно с ним проживающие, или доверенные лица повторно в течение года допустят нарушение условий договора, о которых «Клиент» был письменно извещен «Охраной».</w:t>
      </w:r>
      <w:bookmarkEnd w:id="6"/>
    </w:p>
    <w:p>
      <w:pPr>
        <w:pStyle w:val="BodyText3"/>
        <w:tabs>
          <w:tab w:val="clear" w:pos="720"/>
          <w:tab w:val="left" w:pos="2700" w:leader="none"/>
        </w:tabs>
        <w:jc w:val="both"/>
        <w:rPr>
          <w:sz w:val="20"/>
          <w:u w:val="single"/>
        </w:rPr>
      </w:pPr>
      <w:r>
        <w:rPr>
          <w:sz w:val="20"/>
        </w:rPr>
        <w:t xml:space="preserve">             </w:t>
      </w:r>
      <w:r>
        <w:rPr>
          <w:sz w:val="20"/>
        </w:rPr>
        <w:t>5.3.5. На «Объекте» по вине «Клиента» в течение календарного года не проведено регламентное обслуживание ТСО.</w:t>
      </w:r>
    </w:p>
    <w:p>
      <w:pPr>
        <w:pStyle w:val="BodyText3"/>
        <w:tabs>
          <w:tab w:val="clear" w:pos="720"/>
          <w:tab w:val="left" w:pos="2700" w:leader="none"/>
        </w:tabs>
        <w:jc w:val="both"/>
        <w:rPr>
          <w:sz w:val="20"/>
        </w:rPr>
      </w:pPr>
      <w:r>
        <w:rPr>
          <w:sz w:val="20"/>
        </w:rPr>
        <w:t xml:space="preserve">               </w:t>
      </w:r>
      <w:r>
        <w:rPr>
          <w:sz w:val="20"/>
        </w:rPr>
        <w:t>5.3.6. «Объект» становится коммунальной квартирой, переводится в категорию нежилых помещений, либо используется «Клиентом» или иными лицами для ведения предпринимательской деятельности, а также при возникновении спора в отношении права собственности на «Объект», порядка пользования или владения им.</w:t>
      </w:r>
    </w:p>
    <w:p>
      <w:pPr>
        <w:pStyle w:val="BodyText3"/>
        <w:tabs>
          <w:tab w:val="clear" w:pos="720"/>
          <w:tab w:val="left" w:pos="2700" w:leader="none"/>
        </w:tabs>
        <w:jc w:val="both"/>
        <w:rPr>
          <w:sz w:val="20"/>
        </w:rPr>
      </w:pPr>
      <w:r>
        <w:rPr>
          <w:sz w:val="20"/>
        </w:rPr>
        <w:t xml:space="preserve">           </w:t>
      </w:r>
      <w:r>
        <w:rPr>
          <w:sz w:val="20"/>
        </w:rPr>
        <w:t>5.3.7. Установлена недостоверность предоставленных «Клиентом» сведений о себе, членах семьи, лицах, совместно с ним проживающих, сособственниках (сонанимателях) «Объекта», доверенных  лицах, характеристиках «Объекта» и т.д.</w:t>
      </w:r>
    </w:p>
    <w:p>
      <w:pPr>
        <w:pStyle w:val="BodyText3"/>
        <w:tabs>
          <w:tab w:val="clear" w:pos="720"/>
          <w:tab w:val="left" w:pos="2700" w:leader="none"/>
        </w:tabs>
        <w:jc w:val="both"/>
        <w:rPr>
          <w:sz w:val="20"/>
        </w:rPr>
      </w:pPr>
      <w:r>
        <w:rPr>
          <w:sz w:val="20"/>
        </w:rPr>
        <w:t xml:space="preserve">            </w:t>
      </w:r>
      <w:r>
        <w:rPr>
          <w:sz w:val="20"/>
        </w:rPr>
        <w:t xml:space="preserve">5.3.8. </w:t>
      </w:r>
      <w:bookmarkStart w:id="7" w:name="_Ref131306206"/>
      <w:r>
        <w:rPr>
          <w:sz w:val="20"/>
        </w:rPr>
        <w:t>Возник имущественный спор в отношении прав владения, пользования и (или) распоряжения «Объектом» либо соответствующих прав «Клиента» в отношении «Объекта» прекращены.</w:t>
      </w:r>
      <w:bookmarkEnd w:id="7"/>
    </w:p>
    <w:p>
      <w:pPr>
        <w:pStyle w:val="Normal"/>
        <w:tabs>
          <w:tab w:val="clear" w:pos="720"/>
          <w:tab w:val="left" w:pos="2700" w:leader="none"/>
        </w:tabs>
        <w:spacing w:before="0" w:after="0"/>
        <w:ind w:hanging="0" w:left="0" w:right="0"/>
        <w:jc w:val="both"/>
        <w:rPr>
          <w:sz w:val="20"/>
        </w:rPr>
      </w:pPr>
      <w:r>
        <w:rPr>
          <w:sz w:val="20"/>
        </w:rPr>
        <w:t xml:space="preserve">       </w:t>
      </w:r>
      <w:r>
        <w:rPr>
          <w:sz w:val="20"/>
        </w:rPr>
        <w:t>5.4. Уведомлять «Клиента» по телефону или в системе автоматического обзвона, об образовавшейся задолженности по оплате за услуги «Охраны», и в случаях перезаключения действующего договора в связи с его изменением.</w:t>
      </w:r>
    </w:p>
    <w:p>
      <w:pPr>
        <w:pStyle w:val="Normal"/>
        <w:numPr>
          <w:ilvl w:val="0"/>
          <w:numId w:val="2"/>
        </w:numPr>
        <w:ind w:hanging="0" w:left="0"/>
        <w:jc w:val="center"/>
        <w:rPr>
          <w:b/>
        </w:rPr>
      </w:pPr>
      <w:r>
        <w:rPr>
          <w:b/>
        </w:rPr>
        <w:t>ПРАВА «КЛИЕНТА»</w:t>
      </w:r>
    </w:p>
    <w:p>
      <w:pPr>
        <w:pStyle w:val="BodyText3"/>
        <w:numPr>
          <w:ilvl w:val="1"/>
          <w:numId w:val="2"/>
        </w:numPr>
        <w:ind w:firstLine="720" w:left="0"/>
        <w:jc w:val="both"/>
        <w:rPr>
          <w:sz w:val="20"/>
        </w:rPr>
      </w:pPr>
      <w:r>
        <w:rPr>
          <w:sz w:val="20"/>
        </w:rPr>
        <w:t>Назначать доверенных лиц и передавать им право входа на «Объект», право пользования сигнализацией и исполнения своих обязанностей по настоящему договору.</w:t>
      </w:r>
    </w:p>
    <w:p>
      <w:pPr>
        <w:pStyle w:val="BodyText3"/>
        <w:numPr>
          <w:ilvl w:val="1"/>
          <w:numId w:val="2"/>
        </w:numPr>
        <w:ind w:firstLine="720" w:left="0"/>
        <w:jc w:val="both"/>
        <w:rPr>
          <w:sz w:val="20"/>
        </w:rPr>
      </w:pPr>
      <w:r>
        <w:rPr>
          <w:sz w:val="20"/>
        </w:rPr>
        <w:t>Принимать решение о предоставлении «Охране» права вскрывать и осматривать «Объект» без понятых в случаях поступлении с «Объекта» сигнала «тревога» или не подключении сигнализации при сдаче его под охрану, о чем в Перечне основных сведений делается соответствующая запись (кроме того, разрешение на вскрытие и осмотр «Объекта» без понятых может быть получено «Охраной» от «Клиента» устно при извещении его по телефону).</w:t>
      </w:r>
    </w:p>
    <w:p>
      <w:pPr>
        <w:pStyle w:val="BodyText3"/>
        <w:numPr>
          <w:ilvl w:val="1"/>
          <w:numId w:val="2"/>
        </w:numPr>
        <w:ind w:firstLine="720" w:left="0"/>
        <w:jc w:val="both"/>
        <w:rPr>
          <w:sz w:val="20"/>
        </w:rPr>
      </w:pPr>
      <w:r>
        <w:rPr>
          <w:sz w:val="20"/>
        </w:rPr>
        <w:t>В любое время расторгнуть настоящий договор (в том числе при несогласии с изменением действующих тарифов на услуги «Охраны»), письменно уведомив об этом «Охрану»  не менее чем  за 10 дней.</w:t>
      </w:r>
    </w:p>
    <w:p>
      <w:pPr>
        <w:pStyle w:val="Normal"/>
        <w:numPr>
          <w:ilvl w:val="0"/>
          <w:numId w:val="2"/>
        </w:numPr>
        <w:ind w:hanging="0" w:left="0"/>
        <w:jc w:val="center"/>
        <w:rPr>
          <w:b/>
        </w:rPr>
      </w:pPr>
      <w:bookmarkStart w:id="8" w:name="_Ref130207058"/>
      <w:r>
        <w:rPr>
          <w:b/>
        </w:rPr>
        <w:t>ПОРЯДОК РАСЧЕТОВ</w:t>
      </w:r>
      <w:bookmarkEnd w:id="8"/>
      <w:r>
        <w:rPr>
          <w:b/>
        </w:rPr>
        <w:t xml:space="preserve"> </w:t>
      </w:r>
    </w:p>
    <w:p>
      <w:pPr>
        <w:pStyle w:val="Normal"/>
        <w:numPr>
          <w:ilvl w:val="1"/>
          <w:numId w:val="2"/>
        </w:numPr>
        <w:ind w:firstLine="720" w:left="0"/>
        <w:jc w:val="both"/>
        <w:rPr>
          <w:highlight w:val="white"/>
        </w:rPr>
      </w:pPr>
      <w:bookmarkStart w:id="9" w:name="_Ref130108835"/>
      <w:r>
        <w:rPr>
          <w:highlight w:val="white"/>
        </w:rPr>
        <w:t>Оплата услуг, оказываемых «Охраной» по договору, осуществляется «Клиентом» ежемесячно до 20 числа текущего месяца в соответствии с тарифами, утверждаемыми приказом начальника ФГКУ «ОВО ВНГ России  по Астраханской области». «</w:t>
      </w:r>
      <w:r>
        <w:rPr>
          <w:shd w:fill="FFFFFF" w:val="clear"/>
        </w:rPr>
        <w:t>Клиент» производит платеж за услуги «Охраны» путем перечисления денежных средств расчетный счет «Охраны».</w:t>
      </w:r>
    </w:p>
    <w:p>
      <w:pPr>
        <w:pStyle w:val="Normal"/>
        <w:jc w:val="both"/>
        <w:rPr>
          <w:highlight w:val="white"/>
        </w:rPr>
      </w:pPr>
      <w:r>
        <w:rPr>
          <w:highlight w:val="white"/>
        </w:rPr>
        <w:t xml:space="preserve">            </w:t>
      </w:r>
      <w:r>
        <w:rPr>
          <w:highlight w:val="white"/>
        </w:rPr>
        <w:t>7.2. Тарифы «Охраны» указываются в Приложении № 1, устанавливаются с учетом расходов по оказанию данных видов услуг, могут пересматриваться «Охраной» с обязательным уведомлением «Клиента» в течение 15 дней после их введения.</w:t>
      </w:r>
    </w:p>
    <w:p>
      <w:pPr>
        <w:pStyle w:val="Normal"/>
        <w:jc w:val="both"/>
        <w:rPr/>
      </w:pPr>
      <w:r>
        <w:rPr/>
        <w:t xml:space="preserve">             </w:t>
      </w:r>
      <w:r>
        <w:rPr/>
        <w:t>7.3. Оплата услуг по настоящему договору производится независимо от времени фактического нахождения «Объекта» под охраной.</w:t>
      </w:r>
      <w:bookmarkEnd w:id="9"/>
    </w:p>
    <w:p>
      <w:pPr>
        <w:pStyle w:val="Normal"/>
        <w:jc w:val="both"/>
        <w:rPr/>
      </w:pPr>
      <w:r>
        <w:rPr/>
        <w:t xml:space="preserve">           </w:t>
      </w:r>
      <w:r>
        <w:rPr/>
        <w:t>7.4. Оплата за выезд наряда войск национальной гвардии вследствие поступившего с «Объекта» сигнала тревоги по вине «Клиента», членов его семьи, лиц, за</w:t>
        <w:softHyphen/>
        <w:t>регистрированных по адресу объекта, или доверенных лиц производится в соответствии с действующими расценками на момент поступившего с «Объекта» сигнала тревоги.</w:t>
      </w:r>
    </w:p>
    <w:p>
      <w:pPr>
        <w:pStyle w:val="BodyTextIndent3"/>
        <w:spacing w:before="0" w:after="0"/>
        <w:ind w:hanging="0" w:left="0"/>
        <w:jc w:val="both"/>
        <w:rPr>
          <w:sz w:val="20"/>
          <w:szCs w:val="20"/>
        </w:rPr>
      </w:pPr>
      <w:r>
        <w:rPr>
          <w:sz w:val="20"/>
          <w:szCs w:val="20"/>
        </w:rPr>
        <w:tab/>
        <w:t>7.5. При изменении тарифов на услуги «Охраны», размер оплаты за оказываемые ими на основании настоящего договора услуги изменяется «Охраной»  в одностороннем порядке с момента</w:t>
      </w:r>
      <w:r>
        <w:rPr>
          <w:b/>
          <w:i/>
          <w:sz w:val="20"/>
          <w:szCs w:val="20"/>
        </w:rPr>
        <w:t xml:space="preserve"> </w:t>
      </w:r>
      <w:r>
        <w:rPr>
          <w:sz w:val="20"/>
          <w:szCs w:val="20"/>
        </w:rPr>
        <w:t>издания соответствующего приказа начальника ФГКУ «ОВО ВНГ России по Астраханской области». Об изменении тарифов на услуги «Охраны» в обязательном порядке информирует «Клиента» письменно через средства массовой информации или посредством сотовой или электронной связи. Если «Клиент» не согласен с изменением тарифов, то он вправе в одностороннем порядке в течении 10 рабочих дней с момента получения (опубликования) уведомления письменно заявить о расторжении настоящего договора при условии оплаты фактически понесённых «Охраной» расходов по действующим ( вновь ут</w:t>
      </w:r>
      <w:r>
        <w:rPr>
          <w:sz w:val="20"/>
          <w:szCs w:val="20"/>
          <w:highlight w:val="white"/>
        </w:rPr>
        <w:t>верждённым) тарифам. Если в указанный срок от «Клиента» в адрес «Охраны»  не поступает уведомления о расторжении договора считается, что «Клиент» согласился на изменения договорных условий о цене.</w:t>
      </w:r>
    </w:p>
    <w:p>
      <w:pPr>
        <w:pStyle w:val="Normal"/>
        <w:spacing w:before="0" w:after="0"/>
        <w:ind w:hanging="0" w:left="0" w:right="0"/>
        <w:jc w:val="both"/>
        <w:rPr>
          <w:highlight w:val="white"/>
        </w:rPr>
      </w:pPr>
      <w:bookmarkStart w:id="10" w:name="_Ref131568549"/>
      <w:bookmarkEnd w:id="10"/>
      <w:r>
        <w:rPr>
          <w:sz w:val="20"/>
          <w:szCs w:val="20"/>
          <w:shd w:fill="FFFFFF" w:val="clear"/>
        </w:rPr>
        <w:tab/>
        <w:t>7.6.</w:t>
        <w:tab/>
        <w:t xml:space="preserve">В случае приостановления действия настоящего договора «Клиент» оплачивает «Охране» компенсацию за амортизацию задействованной емкости программно-аппаратной части канал связи GSM. </w:t>
      </w:r>
    </w:p>
    <w:p>
      <w:pPr>
        <w:pStyle w:val="Normal"/>
        <w:jc w:val="both"/>
        <w:rPr/>
      </w:pPr>
      <w:r>
        <w:rPr>
          <w:highlight w:val="white"/>
        </w:rPr>
        <w:t xml:space="preserve">       </w:t>
      </w:r>
      <w:r>
        <w:rPr>
          <w:highlight w:val="white"/>
        </w:rPr>
        <w:t>7.7. Оплату услуг GSM связи на счетах SIM - карт по которым осуществляется контроль за средствами сигнализации на «Объекте» клиентом осуществ</w:t>
      </w:r>
      <w:r>
        <w:rPr/>
        <w:t>ляется самостоятельно.</w:t>
      </w:r>
    </w:p>
    <w:p>
      <w:pPr>
        <w:pStyle w:val="Normal"/>
        <w:widowControl w:val="false"/>
        <w:numPr>
          <w:ilvl w:val="0"/>
          <w:numId w:val="0"/>
        </w:numPr>
        <w:ind w:hanging="0" w:left="0"/>
        <w:jc w:val="center"/>
        <w:outlineLvl w:val="0"/>
        <w:rPr>
          <w:b/>
        </w:rPr>
      </w:pPr>
      <w:r>
        <w:rPr>
          <w:b/>
        </w:rPr>
        <w:t>8. ОТВЕТСТВЕННОСТЬ СТОРОН</w:t>
      </w:r>
    </w:p>
    <w:p>
      <w:pPr>
        <w:pStyle w:val="Normal"/>
        <w:widowControl w:val="false"/>
        <w:spacing w:lineRule="auto" w:line="276"/>
        <w:ind w:firstLine="708"/>
        <w:jc w:val="both"/>
        <w:rPr/>
      </w:pPr>
      <w:r>
        <w:rPr/>
        <w:t xml:space="preserve">8. 1. За неисполнение или ненадлежащее неисполнение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w:t>
      </w:r>
    </w:p>
    <w:p>
      <w:pPr>
        <w:pStyle w:val="Normal"/>
        <w:jc w:val="center"/>
        <w:rPr>
          <w:b/>
        </w:rPr>
      </w:pPr>
      <w:r>
        <w:rPr>
          <w:b/>
        </w:rPr>
        <w:t>9.</w:t>
      </w:r>
      <w:r>
        <w:rPr/>
        <w:t xml:space="preserve"> </w:t>
      </w:r>
      <w:r>
        <w:rPr>
          <w:b/>
        </w:rPr>
        <w:t>ЗАКЛЮЧИТЕЛЬНЫЕ ПОЛОЖЕНИЯ</w:t>
      </w:r>
    </w:p>
    <w:p>
      <w:pPr>
        <w:pStyle w:val="BodyTextIndent3"/>
        <w:spacing w:before="0" w:after="0"/>
        <w:ind w:firstLine="750" w:left="0"/>
        <w:jc w:val="both"/>
        <w:rPr>
          <w:highlight w:val="white"/>
        </w:rPr>
      </w:pPr>
      <w:r>
        <w:rPr>
          <w:sz w:val="20"/>
          <w:szCs w:val="20"/>
          <w:highlight w:val="white"/>
        </w:rPr>
        <w:t>9.1. Настоящий договор заключается сроком на один год и вступает в силу с момента его подписания сторонами. Если за один месяц до истечения срока действия договора ни одна из сторон не потребует в письменной форме его прекращения или изменения, договор признаётся продлённым на прежних условиях на каждый последующий год. Настоящий договор с приложениями составлен в двух экземплярах, имеющих одинаковую юридическую силу, по одному для каждой стороны.</w:t>
      </w:r>
    </w:p>
    <w:p>
      <w:pPr>
        <w:pStyle w:val="BodyTextIndent3"/>
        <w:spacing w:before="0" w:after="0"/>
        <w:ind w:firstLine="750" w:left="0"/>
        <w:jc w:val="both"/>
        <w:rPr>
          <w:sz w:val="20"/>
          <w:szCs w:val="20"/>
        </w:rPr>
      </w:pPr>
      <w:r>
        <w:rPr>
          <w:sz w:val="20"/>
          <w:szCs w:val="20"/>
          <w:highlight w:val="white"/>
        </w:rPr>
        <w:t>9.2.Любые изменения условий настоящего договора действительны, если они согласованы всеми сторонами путем подписания дополнительного соглашения либо приложения в новой редакции, за исключением изменения условий о стоимости услуг «Охраны»  порядок которого определ</w:t>
      </w:r>
      <w:r>
        <w:rPr>
          <w:sz w:val="20"/>
          <w:szCs w:val="20"/>
        </w:rPr>
        <w:t>ен пунктом 7.3. договора.</w:t>
      </w:r>
    </w:p>
    <w:p>
      <w:pPr>
        <w:pStyle w:val="BodyTextIndent3"/>
        <w:spacing w:before="0" w:after="0"/>
        <w:ind w:firstLine="851" w:left="0"/>
        <w:jc w:val="both"/>
        <w:rPr/>
      </w:pPr>
      <w:r>
        <w:rPr>
          <w:sz w:val="20"/>
          <w:szCs w:val="20"/>
        </w:rPr>
        <w:t>9.3.Срок службы ТСО определяется «Охраной»  исходя из их паспортных характеристик и в соответствии с нормативными актами ФСВНГ РФ.  Капитальный ремонт комплекса ТСО производится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факторов, исключающих надежную защиту «Объекта», но не реже одного раза в 8 лет.</w:t>
      </w:r>
    </w:p>
    <w:p>
      <w:pPr>
        <w:pStyle w:val="BodyTextIndent3"/>
        <w:spacing w:before="0" w:after="0"/>
        <w:ind w:hanging="0" w:left="0"/>
        <w:jc w:val="both"/>
        <w:rPr>
          <w:sz w:val="20"/>
          <w:szCs w:val="20"/>
        </w:rPr>
      </w:pPr>
      <w:r>
        <w:rPr>
          <w:sz w:val="20"/>
          <w:szCs w:val="20"/>
        </w:rPr>
        <w:t xml:space="preserve">             </w:t>
      </w:r>
      <w:r>
        <w:rPr>
          <w:sz w:val="20"/>
          <w:szCs w:val="20"/>
        </w:rPr>
        <w:t xml:space="preserve">9.4. В случаях, не предусмотренных условиями настоящего договора, стороны руководствуются действующим гражданским законодательством Российской Федерации. </w:t>
      </w:r>
    </w:p>
    <w:p>
      <w:pPr>
        <w:pStyle w:val="BodyTextIndent3"/>
        <w:spacing w:before="0" w:after="0"/>
        <w:ind w:firstLine="709" w:left="0"/>
        <w:jc w:val="both"/>
        <w:rPr>
          <w:sz w:val="20"/>
          <w:szCs w:val="20"/>
        </w:rPr>
      </w:pPr>
      <w:r>
        <w:rPr>
          <w:sz w:val="20"/>
          <w:szCs w:val="20"/>
        </w:rPr>
        <w:t>9.5. Все споры и разногласия, возникшие при исполнении условий настоящего договора, стороны разрешают путем переговоров, а в случае их не урегулирования – в исковом порядке посредством обращения в Арбитражный суд Астраханской области.</w:t>
      </w:r>
    </w:p>
    <w:p>
      <w:pPr>
        <w:pStyle w:val="BodyTextIndent3"/>
        <w:spacing w:before="0" w:after="0"/>
        <w:ind w:firstLine="709" w:left="0"/>
        <w:jc w:val="both"/>
        <w:rPr>
          <w:sz w:val="20"/>
          <w:szCs w:val="20"/>
        </w:rPr>
      </w:pPr>
      <w:r>
        <w:rPr>
          <w:sz w:val="20"/>
          <w:szCs w:val="20"/>
        </w:rPr>
        <w:t xml:space="preserve"> </w:t>
      </w:r>
      <w:r>
        <w:rPr>
          <w:sz w:val="20"/>
          <w:szCs w:val="20"/>
        </w:rPr>
        <w:t>9.6. «Клиент» перед подписанием настоящего договора ознакомлен с правилами пользования установленной на объекте системой сигнализации, о чем ему выдана письменная Инструкция по использованию ТСО.</w:t>
      </w:r>
    </w:p>
    <w:p>
      <w:pPr>
        <w:pStyle w:val="BodyTextIndent3"/>
        <w:spacing w:before="0" w:after="0"/>
        <w:ind w:hanging="0" w:left="0"/>
        <w:jc w:val="both"/>
        <w:rPr/>
      </w:pPr>
      <w:r>
        <w:rPr/>
      </w:r>
    </w:p>
    <w:p>
      <w:pPr>
        <w:pStyle w:val="Normal"/>
        <w:numPr>
          <w:ilvl w:val="0"/>
          <w:numId w:val="0"/>
        </w:numPr>
        <w:spacing w:before="0" w:after="0"/>
        <w:ind w:hanging="0" w:left="720" w:right="0"/>
        <w:jc w:val="center"/>
        <w:rPr/>
      </w:pPr>
      <w:r>
        <w:rPr/>
        <w:t>10. ФОРС-МАЖОРНЫЕ ОБСТОЯТЕЛЬСТВА</w:t>
      </w:r>
    </w:p>
    <w:p>
      <w:pPr>
        <w:pStyle w:val="Normal"/>
        <w:widowControl/>
        <w:numPr>
          <w:ilvl w:val="0"/>
          <w:numId w:val="0"/>
        </w:numPr>
        <w:suppressAutoHyphens w:val="true"/>
        <w:bidi w:val="0"/>
        <w:spacing w:before="0" w:after="0"/>
        <w:ind w:hanging="0" w:left="-57" w:right="0"/>
        <w:jc w:val="both"/>
        <w:rPr/>
      </w:pPr>
      <w:r>
        <w:rPr/>
        <w:t xml:space="preserve">       </w:t>
      </w:r>
      <w:r>
        <w:rPr/>
        <w:t xml:space="preserve">10.1.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землетрясения, наводнения, ураганы, другие природные (стихийные) явления, некоторые обстоятельства общественной жизни (гражданские волнения), в том числе чрезвычайные ситуации, объявленная или фактическая война (военные действия), диверсии, эпидемии, блокады, эмбарго, пожары, аварии, в которых непосредственно либо косвенно участвует Сторона по настоящему договору, указы Президента Российской Федерации и постановления Правительства Российской Федерации, а так же постановления или распоряжения органов государственной власти, изменения в текущем законодательстве или другие независящие от сторон обстоятельства),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Normal"/>
        <w:widowControl/>
        <w:numPr>
          <w:ilvl w:val="0"/>
          <w:numId w:val="0"/>
        </w:numPr>
        <w:suppressAutoHyphens w:val="true"/>
        <w:bidi w:val="0"/>
        <w:spacing w:before="0" w:after="0"/>
        <w:ind w:hanging="0" w:left="0" w:right="0"/>
        <w:jc w:val="both"/>
        <w:rPr/>
      </w:pPr>
      <w:r>
        <w:rPr/>
        <w:t xml:space="preserve">         </w:t>
      </w:r>
      <w:r>
        <w:rPr/>
        <w:t>10.2. Сторона, для которой ненадлежащее исполнение обязательств оказалось невозможным по настоящему договору вследствие наступления форс-мажорных обстоятельств, действия обстоятельств непреодолимой силы, имеет право  в течение 12 часов с даты возникновения таких обстоятельств отказаться от дальнейшего выполнения взятых на себя обязательств и приостановить действие договора, в связи с наступлением вышеуказанных обстоятельств и их влияния на исполнение обязательств по договору без требования возмещения убытков, понесённых в связи с наступлением таких обстоятельств.</w:t>
      </w:r>
    </w:p>
    <w:p>
      <w:pPr>
        <w:pStyle w:val="Normal"/>
        <w:widowControl/>
        <w:numPr>
          <w:ilvl w:val="0"/>
          <w:numId w:val="0"/>
        </w:numPr>
        <w:suppressAutoHyphens w:val="true"/>
        <w:bidi w:val="0"/>
        <w:spacing w:before="0" w:after="0"/>
        <w:ind w:hanging="0" w:left="0" w:right="0"/>
        <w:jc w:val="both"/>
        <w:rPr/>
      </w:pPr>
      <w:r>
        <w:rPr/>
        <w:t xml:space="preserve">          </w:t>
      </w:r>
      <w:r>
        <w:rPr/>
        <w:t>10.3. Если по мнению сторон, услуги могут быть продолжены в порядке, действовавшем согласно настоящему договору до начала действия обстоятельств непреодолимой силы, то срок исполнения обязательств по настоящему договору продлевается соразмерно времени, в течение которого действовали обстоятельства непреодолимой силы и их последствия, но не более чем на 1 месяц и не далее сроков действия договора. По истечении данного срока Стороны имеют право отказаться от дальнейшего выполнения взятых на себя обязательств и расторгнуть договор.</w:t>
      </w:r>
    </w:p>
    <w:p>
      <w:pPr>
        <w:pStyle w:val="Normal"/>
        <w:numPr>
          <w:ilvl w:val="0"/>
          <w:numId w:val="0"/>
        </w:numPr>
        <w:spacing w:before="0" w:after="0"/>
        <w:ind w:hanging="0" w:left="720" w:right="0"/>
        <w:jc w:val="both"/>
        <w:rPr>
          <w:sz w:val="18"/>
          <w:szCs w:val="18"/>
        </w:rPr>
      </w:pPr>
      <w:r>
        <w:rPr>
          <w:sz w:val="18"/>
          <w:szCs w:val="18"/>
        </w:rPr>
        <w:tab/>
      </w:r>
      <w:r>
        <w:rPr>
          <w:sz w:val="20"/>
          <w:szCs w:val="20"/>
        </w:rPr>
        <w:t>Приложения:</w:t>
      </w:r>
    </w:p>
    <w:p>
      <w:pPr>
        <w:pStyle w:val="Normal"/>
        <w:numPr>
          <w:ilvl w:val="0"/>
          <w:numId w:val="0"/>
        </w:numPr>
        <w:spacing w:before="0" w:after="0"/>
        <w:ind w:hanging="0" w:left="1440" w:right="0"/>
        <w:jc w:val="both"/>
        <w:rPr/>
      </w:pPr>
      <w:r>
        <w:rPr/>
        <w:t>1. Перечень основных сведений (Приложение № 1)</w:t>
      </w:r>
    </w:p>
    <w:p>
      <w:pPr>
        <w:pStyle w:val="Normal"/>
        <w:numPr>
          <w:ilvl w:val="0"/>
          <w:numId w:val="0"/>
        </w:numPr>
        <w:spacing w:before="0" w:after="0"/>
        <w:ind w:hanging="0" w:left="720" w:right="0"/>
        <w:jc w:val="both"/>
        <w:rPr/>
      </w:pPr>
      <w:r>
        <w:rPr/>
        <w:t>2. Инструкция по пользованию средствами охранно-пожарной сигнализации (Приложение № 2)</w:t>
      </w:r>
    </w:p>
    <w:p>
      <w:pPr>
        <w:pStyle w:val="BodyTextIndent3"/>
        <w:spacing w:before="0" w:after="0"/>
        <w:ind w:hanging="0" w:left="283"/>
        <w:jc w:val="both"/>
        <w:rPr>
          <w:sz w:val="18"/>
          <w:szCs w:val="18"/>
        </w:rPr>
      </w:pPr>
      <w:r>
        <w:rPr>
          <w:sz w:val="18"/>
          <w:szCs w:val="18"/>
        </w:rPr>
      </w:r>
    </w:p>
    <w:p>
      <w:pPr>
        <w:pStyle w:val="11"/>
        <w:jc w:val="center"/>
        <w:rPr>
          <w:b/>
        </w:rPr>
      </w:pPr>
      <w:r>
        <w:rPr>
          <w:b/>
        </w:rPr>
        <w:t xml:space="preserve">10. ЮРИДИЧЕСКИЕ АДРЕСА И ФАКТИЧЕСКОЕ МЕСТОНАХОЖДЕНИЕ СТОРОН, </w:t>
      </w:r>
    </w:p>
    <w:p>
      <w:pPr>
        <w:pStyle w:val="11"/>
        <w:jc w:val="center"/>
        <w:rPr>
          <w:b/>
        </w:rPr>
      </w:pPr>
      <w:r>
        <w:rPr>
          <w:b/>
        </w:rPr>
        <w:t>БАНКОВСКИЕ РЕКВИЗИТЫ.</w:t>
      </w:r>
    </w:p>
    <w:p>
      <w:pPr>
        <w:pStyle w:val="11"/>
        <w:jc w:val="center"/>
        <w:rPr>
          <w:rFonts w:ascii="Times New Roman" w:hAnsi="Times New Roman"/>
          <w:b/>
          <w:sz w:val="20"/>
          <w:szCs w:val="20"/>
        </w:rPr>
      </w:pPr>
      <w:r>
        <w:rPr>
          <w:b/>
          <w:sz w:val="20"/>
          <w:szCs w:val="20"/>
        </w:rPr>
      </w:r>
    </w:p>
    <w:p>
      <w:pPr>
        <w:pStyle w:val="Normal"/>
        <w:jc w:val="both"/>
        <w:rPr>
          <w:rFonts w:ascii="Times New Roman" w:hAnsi="Times New Roman"/>
          <w:sz w:val="20"/>
          <w:szCs w:val="20"/>
        </w:rPr>
      </w:pPr>
      <w:r>
        <w:rPr>
          <w:b/>
          <w:sz w:val="20"/>
          <w:szCs w:val="20"/>
        </w:rPr>
        <w:t xml:space="preserve">ОХРАНА: </w:t>
      </w:r>
      <w:r>
        <w:rPr>
          <w:b w:val="false"/>
          <w:bCs w:val="false"/>
          <w:color w:val="000000"/>
          <w:sz w:val="20"/>
          <w:szCs w:val="20"/>
        </w:rPr>
        <w:t xml:space="preserve">Федеральное государственное казенного учреждение </w:t>
      </w:r>
    </w:p>
    <w:p>
      <w:pPr>
        <w:pStyle w:val="Normal"/>
        <w:widowControl/>
        <w:bidi w:val="0"/>
        <w:spacing w:before="0" w:after="0"/>
        <w:ind w:hanging="0" w:left="0" w:right="0"/>
        <w:jc w:val="left"/>
        <w:rPr>
          <w:rFonts w:ascii="Times New Roman" w:hAnsi="Times New Roman"/>
          <w:b w:val="false"/>
          <w:bCs w:val="false"/>
          <w:color w:val="000000"/>
          <w:sz w:val="20"/>
          <w:szCs w:val="20"/>
        </w:rPr>
      </w:pPr>
      <w:r>
        <w:rPr>
          <w:b w:val="false"/>
          <w:bCs w:val="false"/>
          <w:color w:val="000000"/>
          <w:sz w:val="20"/>
          <w:szCs w:val="20"/>
        </w:rPr>
        <w:t xml:space="preserve"> </w:t>
      </w:r>
      <w:r>
        <w:rPr>
          <w:b w:val="false"/>
          <w:bCs w:val="false"/>
          <w:color w:val="000000"/>
          <w:sz w:val="20"/>
          <w:szCs w:val="20"/>
        </w:rPr>
        <w:t xml:space="preserve">«Отдел вневедомственной  охраны войск национальной гвардии </w:t>
      </w:r>
    </w:p>
    <w:p>
      <w:pPr>
        <w:pStyle w:val="Normal"/>
        <w:widowControl/>
        <w:bidi w:val="0"/>
        <w:spacing w:before="0" w:after="0"/>
        <w:ind w:hanging="0" w:left="0" w:right="0"/>
        <w:jc w:val="left"/>
        <w:rPr>
          <w:rFonts w:ascii="Times New Roman" w:hAnsi="Times New Roman"/>
          <w:sz w:val="20"/>
          <w:szCs w:val="20"/>
        </w:rPr>
      </w:pPr>
      <w:r>
        <w:rPr>
          <w:b w:val="false"/>
          <w:bCs w:val="false"/>
          <w:color w:val="000000"/>
          <w:sz w:val="20"/>
          <w:szCs w:val="20"/>
        </w:rPr>
        <w:t xml:space="preserve">Российской Федерации по Астраханской области» </w:t>
      </w:r>
      <w:r>
        <w:rPr>
          <w:color w:val="000000"/>
          <w:sz w:val="20"/>
          <w:szCs w:val="20"/>
        </w:rPr>
        <w:t>ФГКУ «ОВО ВНГ России по Астраханской области».</w:t>
      </w:r>
    </w:p>
    <w:p>
      <w:pPr>
        <w:pStyle w:val="Normal"/>
        <w:widowControl/>
        <w:bidi w:val="0"/>
        <w:spacing w:before="0" w:after="0"/>
        <w:ind w:hanging="0" w:left="0" w:right="0"/>
        <w:jc w:val="left"/>
        <w:rPr>
          <w:rFonts w:ascii="Times New Roman" w:hAnsi="Times New Roman"/>
          <w:color w:val="000000"/>
          <w:sz w:val="20"/>
          <w:szCs w:val="20"/>
        </w:rPr>
      </w:pPr>
      <w:r>
        <w:rPr>
          <w:color w:val="000000"/>
          <w:sz w:val="20"/>
          <w:szCs w:val="20"/>
        </w:rPr>
        <w:t>Юридический адрес: 414000, г. Астрахань, ул. Адмиралтейская, зд. 7.</w:t>
      </w:r>
    </w:p>
    <w:p>
      <w:pPr>
        <w:pStyle w:val="Normal"/>
        <w:widowControl/>
        <w:bidi w:val="0"/>
        <w:spacing w:before="0" w:after="0"/>
        <w:ind w:hanging="0" w:left="0" w:right="0"/>
        <w:jc w:val="left"/>
        <w:rPr>
          <w:rFonts w:ascii="Times New Roman" w:hAnsi="Times New Roman"/>
          <w:color w:val="000000"/>
          <w:sz w:val="20"/>
          <w:szCs w:val="20"/>
        </w:rPr>
      </w:pPr>
      <w:r>
        <w:rPr>
          <w:color w:val="000000"/>
          <w:sz w:val="20"/>
          <w:szCs w:val="20"/>
        </w:rPr>
        <w:t>Факти</w:t>
      </w:r>
      <w:r>
        <w:rPr>
          <w:color w:val="000000"/>
          <w:sz w:val="20"/>
          <w:szCs w:val="20"/>
          <w:highlight w:val="white"/>
        </w:rPr>
        <w:t>ческий адрес: ___________________________________________________________________________</w:t>
      </w:r>
    </w:p>
    <w:p>
      <w:pPr>
        <w:pStyle w:val="Normal"/>
        <w:jc w:val="left"/>
        <w:rPr>
          <w:highlight w:val="white"/>
        </w:rPr>
      </w:pPr>
      <w:r>
        <w:rPr>
          <w:b w:val="false"/>
          <w:bCs w:val="false"/>
          <w:color w:val="000000"/>
          <w:sz w:val="20"/>
          <w:szCs w:val="20"/>
          <w:highlight w:val="white"/>
        </w:rPr>
        <w:t>Телефон: _____________________, ; факс ______________________________</w:t>
      </w:r>
    </w:p>
    <w:p>
      <w:pPr>
        <w:pStyle w:val="Normal"/>
        <w:widowControl/>
        <w:tabs>
          <w:tab w:val="clear" w:pos="720"/>
          <w:tab w:val="left" w:pos="0" w:leader="none"/>
        </w:tabs>
        <w:bidi w:val="0"/>
        <w:spacing w:before="0" w:after="0"/>
        <w:ind w:hanging="0" w:left="0" w:right="0"/>
        <w:jc w:val="left"/>
        <w:rPr>
          <w:highlight w:val="white"/>
        </w:rPr>
      </w:pPr>
      <w:r>
        <w:rPr>
          <w:highlight w:val="white"/>
        </w:rPr>
      </w:r>
    </w:p>
    <w:p>
      <w:pPr>
        <w:pStyle w:val="Normal"/>
        <w:widowControl/>
        <w:bidi w:val="0"/>
        <w:spacing w:before="0" w:after="0"/>
        <w:ind w:hanging="0" w:left="0" w:right="0"/>
        <w:jc w:val="left"/>
        <w:rPr>
          <w:highlight w:val="white"/>
        </w:rPr>
      </w:pPr>
      <w:r>
        <w:rPr>
          <w:rFonts w:eastAsia="Calibri"/>
          <w:b/>
          <w:color w:val="000000"/>
          <w:sz w:val="20"/>
          <w:szCs w:val="20"/>
          <w:highlight w:val="white"/>
        </w:rPr>
        <w:t>Банковские реквизиты:</w:t>
      </w:r>
      <w:r>
        <w:rPr>
          <w:color w:val="000000"/>
          <w:sz w:val="20"/>
          <w:szCs w:val="20"/>
          <w:highlight w:val="white"/>
        </w:rPr>
        <w:t xml:space="preserve"> УФК по Астраханской области (ФГКУ  «ОВО ВНГ России по Астраханской области  </w:t>
      </w:r>
    </w:p>
    <w:p>
      <w:pPr>
        <w:pStyle w:val="Normal"/>
        <w:widowControl/>
        <w:bidi w:val="0"/>
        <w:spacing w:before="0" w:after="0"/>
        <w:ind w:hanging="0" w:left="0" w:right="0"/>
        <w:jc w:val="left"/>
        <w:rPr>
          <w:highlight w:val="white"/>
        </w:rPr>
      </w:pPr>
      <w:r>
        <w:rPr>
          <w:color w:val="000000"/>
          <w:sz w:val="20"/>
          <w:szCs w:val="20"/>
          <w:highlight w:val="white"/>
        </w:rPr>
        <w:t>л/с 04251D11720 »),  ОГРН 1123015002110, ИНН 3015096808</w:t>
      </w:r>
    </w:p>
    <w:p>
      <w:pPr>
        <w:pStyle w:val="Normal"/>
        <w:widowControl/>
        <w:bidi w:val="0"/>
        <w:spacing w:before="0" w:after="0"/>
        <w:ind w:hanging="0" w:left="0" w:right="0"/>
        <w:jc w:val="left"/>
        <w:rPr>
          <w:highlight w:val="white"/>
        </w:rPr>
      </w:pPr>
      <w:r>
        <w:rPr>
          <w:color w:val="000000"/>
          <w:sz w:val="20"/>
          <w:szCs w:val="20"/>
          <w:highlight w:val="white"/>
        </w:rPr>
        <w:t>КПП 301901001,Банк получателя  ОТДЕЛЕНИЕ  АСТРАХАНЬ БАНКА РОССИИ//УФК  по Астраханской области  г.Астрахань</w:t>
      </w:r>
    </w:p>
    <w:p>
      <w:pPr>
        <w:pStyle w:val="Normal"/>
        <w:widowControl/>
        <w:bidi w:val="0"/>
        <w:spacing w:before="0" w:after="0"/>
        <w:ind w:hanging="0" w:left="0" w:right="0"/>
        <w:jc w:val="left"/>
        <w:rPr>
          <w:highlight w:val="white"/>
        </w:rPr>
      </w:pPr>
      <w:r>
        <w:rPr>
          <w:color w:val="000000"/>
          <w:sz w:val="20"/>
          <w:szCs w:val="20"/>
          <w:highlight w:val="white"/>
        </w:rPr>
        <w:t>БИК 011203901, КС  03100643000000012500,  ЕКС 40102810445370000017, КБК 18011301081017000130 ОКПО 08683659, ОКВЭД 84.24, ОКФС 12, ОКОПФ 75104, ОКТМО 12701000, ОКОГУ 1319818</w:t>
      </w:r>
    </w:p>
    <w:p>
      <w:pPr>
        <w:pStyle w:val="Normal"/>
        <w:jc w:val="left"/>
        <w:rPr>
          <w:highlight w:val="white"/>
        </w:rPr>
      </w:pPr>
      <w:r>
        <w:rPr>
          <w:highlight w:val="white"/>
        </w:rPr>
      </w:r>
    </w:p>
    <w:p>
      <w:pPr>
        <w:pStyle w:val="Normal"/>
        <w:jc w:val="left"/>
        <w:rPr>
          <w:highlight w:val="white"/>
        </w:rPr>
      </w:pPr>
      <w:r>
        <w:rPr>
          <w:sz w:val="20"/>
          <w:szCs w:val="20"/>
          <w:highlight w:val="white"/>
        </w:rPr>
        <w:t xml:space="preserve">Начальник ОВО по _______  району – </w:t>
      </w:r>
    </w:p>
    <w:p>
      <w:pPr>
        <w:pStyle w:val="Normal"/>
        <w:jc w:val="left"/>
        <w:rPr>
          <w:highlight w:val="white"/>
        </w:rPr>
      </w:pPr>
      <w:r>
        <w:rPr>
          <w:sz w:val="20"/>
          <w:szCs w:val="20"/>
          <w:highlight w:val="white"/>
        </w:rPr>
        <w:t>филиал ФГКУ «ОВО ВНГ России по</w:t>
      </w:r>
    </w:p>
    <w:p>
      <w:pPr>
        <w:pStyle w:val="Normal"/>
        <w:jc w:val="left"/>
        <w:rPr>
          <w:highlight w:val="white"/>
        </w:rPr>
      </w:pPr>
      <w:r>
        <w:rPr>
          <w:sz w:val="20"/>
          <w:szCs w:val="20"/>
          <w:highlight w:val="white"/>
        </w:rPr>
        <w:t xml:space="preserve"> </w:t>
      </w:r>
      <w:r>
        <w:rPr>
          <w:sz w:val="20"/>
          <w:szCs w:val="20"/>
          <w:highlight w:val="white"/>
        </w:rPr>
        <w:t>Астраханской области»</w:t>
      </w:r>
    </w:p>
    <w:p>
      <w:pPr>
        <w:pStyle w:val="Normal"/>
        <w:jc w:val="left"/>
        <w:rPr>
          <w:rFonts w:ascii="Times New Roman" w:hAnsi="Times New Roman"/>
          <w:sz w:val="20"/>
          <w:szCs w:val="20"/>
          <w:highlight w:val="white"/>
        </w:rPr>
      </w:pPr>
      <w:r>
        <w:rPr>
          <w:sz w:val="20"/>
          <w:szCs w:val="20"/>
          <w:highlight w:val="white"/>
        </w:rPr>
      </w:r>
    </w:p>
    <w:p>
      <w:pPr>
        <w:pStyle w:val="Normal"/>
        <w:jc w:val="left"/>
        <w:rPr>
          <w:highlight w:val="white"/>
        </w:rPr>
      </w:pPr>
      <w:r>
        <w:rPr>
          <w:sz w:val="20"/>
          <w:szCs w:val="20"/>
          <w:highlight w:val="white"/>
        </w:rPr>
        <w:t>_________________/_____________/</w:t>
      </w:r>
    </w:p>
    <w:p>
      <w:pPr>
        <w:pStyle w:val="Normal"/>
        <w:jc w:val="left"/>
        <w:rPr>
          <w:rFonts w:ascii="Times New Roman" w:hAnsi="Times New Roman"/>
          <w:sz w:val="20"/>
          <w:szCs w:val="20"/>
          <w:highlight w:val="white"/>
        </w:rPr>
      </w:pPr>
      <w:r>
        <w:rPr>
          <w:sz w:val="20"/>
          <w:szCs w:val="20"/>
          <w:highlight w:val="white"/>
        </w:rPr>
      </w:r>
    </w:p>
    <w:p>
      <w:pPr>
        <w:pStyle w:val="Normal"/>
        <w:jc w:val="left"/>
        <w:rPr>
          <w:highlight w:val="white"/>
        </w:rPr>
      </w:pPr>
      <w:r>
        <w:rPr>
          <w:sz w:val="20"/>
          <w:szCs w:val="20"/>
          <w:highlight w:val="white"/>
        </w:rPr>
        <w:t>«____» ____________ 2024 г.</w:t>
      </w:r>
    </w:p>
    <w:p>
      <w:pPr>
        <w:pStyle w:val="Normal"/>
        <w:jc w:val="left"/>
        <w:rPr>
          <w:highlight w:val="white"/>
        </w:rPr>
      </w:pPr>
      <w:r>
        <w:rPr>
          <w:sz w:val="20"/>
          <w:szCs w:val="20"/>
          <w:highlight w:val="white"/>
        </w:rPr>
        <w:t>м.п.</w:t>
      </w:r>
    </w:p>
    <w:p>
      <w:pPr>
        <w:pStyle w:val="Normal"/>
        <w:jc w:val="both"/>
        <w:rPr>
          <w:b/>
          <w:highlight w:val="white"/>
        </w:rPr>
      </w:pPr>
      <w:r>
        <w:rPr>
          <w:b/>
          <w:highlight w:val="white"/>
        </w:rPr>
      </w:r>
    </w:p>
    <w:p>
      <w:pPr>
        <w:pStyle w:val="Normal"/>
        <w:numPr>
          <w:ilvl w:val="0"/>
          <w:numId w:val="0"/>
        </w:numPr>
        <w:ind w:hanging="0" w:left="0" w:right="-284"/>
        <w:outlineLvl w:val="0"/>
        <w:rPr>
          <w:rFonts w:ascii="Times New Roman" w:hAnsi="Times New Roman"/>
          <w:b/>
          <w:color w:val="FF0000"/>
          <w:sz w:val="20"/>
          <w:szCs w:val="20"/>
          <w:highlight w:val="white"/>
          <w:u w:val="single"/>
        </w:rPr>
      </w:pPr>
      <w:r>
        <w:rPr>
          <w:b/>
          <w:color w:val="FF0000"/>
          <w:sz w:val="20"/>
          <w:szCs w:val="20"/>
          <w:highlight w:val="white"/>
          <w:u w:val="single"/>
        </w:rPr>
      </w:r>
    </w:p>
    <w:p>
      <w:pPr>
        <w:pStyle w:val="Normal"/>
        <w:jc w:val="both"/>
        <w:rPr>
          <w:highlight w:val="white"/>
        </w:rPr>
      </w:pPr>
      <w:r>
        <w:rPr>
          <w:b/>
          <w:sz w:val="20"/>
          <w:szCs w:val="20"/>
          <w:highlight w:val="white"/>
        </w:rPr>
        <w:t>КЛИЕНТ: _________________________</w:t>
      </w:r>
      <w:r>
        <w:rPr>
          <w:sz w:val="20"/>
          <w:szCs w:val="20"/>
          <w:highlight w:val="white"/>
        </w:rPr>
        <w:t>, проживающий по адресу: _____________________________________</w:t>
        <w:br/>
        <w:t xml:space="preserve"> паспорт серия </w:t>
      </w:r>
    </w:p>
    <w:p>
      <w:pPr>
        <w:pStyle w:val="Normal"/>
        <w:rPr>
          <w:rFonts w:ascii="Times New Roman" w:hAnsi="Times New Roman"/>
          <w:b/>
          <w:sz w:val="20"/>
          <w:szCs w:val="20"/>
          <w:highlight w:val="white"/>
        </w:rPr>
      </w:pPr>
      <w:r>
        <w:rPr>
          <w:b/>
          <w:sz w:val="20"/>
          <w:szCs w:val="20"/>
          <w:highlight w:val="white"/>
        </w:rPr>
      </w:r>
    </w:p>
    <w:p>
      <w:pPr>
        <w:pStyle w:val="Normal"/>
        <w:rPr>
          <w:rFonts w:ascii="Times New Roman" w:hAnsi="Times New Roman"/>
          <w:b/>
          <w:sz w:val="20"/>
          <w:szCs w:val="20"/>
          <w:highlight w:val="white"/>
        </w:rPr>
      </w:pPr>
      <w:r>
        <w:rPr>
          <w:b/>
          <w:sz w:val="20"/>
          <w:szCs w:val="20"/>
          <w:highlight w:val="white"/>
        </w:rPr>
      </w:r>
    </w:p>
    <w:p>
      <w:pPr>
        <w:pStyle w:val="Normal"/>
        <w:rPr>
          <w:highlight w:val="white"/>
        </w:rPr>
      </w:pPr>
      <w:r>
        <w:rPr>
          <w:b/>
          <w:sz w:val="20"/>
          <w:szCs w:val="20"/>
          <w:highlight w:val="white"/>
        </w:rPr>
        <w:t>КЛИЕНТ                                                                                                                                    _______________</w:t>
      </w:r>
      <w:r>
        <w:rPr>
          <w:b w:val="false"/>
          <w:bCs w:val="false"/>
          <w:sz w:val="20"/>
          <w:szCs w:val="20"/>
          <w:highlight w:val="white"/>
        </w:rPr>
        <w:t>/_________//</w:t>
      </w:r>
    </w:p>
    <w:p>
      <w:pPr>
        <w:pStyle w:val="Normal"/>
        <w:rPr>
          <w:rFonts w:ascii="Times New Roman" w:hAnsi="Times New Roman"/>
          <w:b/>
          <w:sz w:val="20"/>
          <w:szCs w:val="20"/>
          <w:highlight w:val="white"/>
        </w:rPr>
      </w:pPr>
      <w:r>
        <w:rPr>
          <w:b/>
          <w:sz w:val="20"/>
          <w:szCs w:val="20"/>
          <w:highlight w:val="white"/>
        </w:rPr>
      </w:r>
    </w:p>
    <w:p>
      <w:pPr>
        <w:pStyle w:val="Normal"/>
        <w:ind w:hanging="0" w:right="-284"/>
        <w:jc w:val="center"/>
        <w:rPr>
          <w:rFonts w:ascii="Times New Roman" w:hAnsi="Times New Roman"/>
          <w:sz w:val="20"/>
          <w:szCs w:val="20"/>
        </w:rPr>
      </w:pPr>
      <w:r>
        <w:rPr>
          <w:b/>
          <w:i/>
          <w:sz w:val="20"/>
          <w:szCs w:val="20"/>
          <w:highlight w:val="white"/>
        </w:rPr>
        <w:t xml:space="preserve">                                                                                </w:t>
      </w:r>
      <w:r>
        <w:rPr>
          <w:b/>
          <w:i/>
          <w:sz w:val="20"/>
          <w:szCs w:val="20"/>
        </w:rPr>
        <w:t xml:space="preserve">                                                  </w:t>
      </w:r>
      <w:r>
        <w:rPr>
          <w:sz w:val="20"/>
          <w:szCs w:val="20"/>
        </w:rPr>
        <w:t>«</w:t>
      </w:r>
      <w:r>
        <w:rPr>
          <w:sz w:val="20"/>
          <w:szCs w:val="20"/>
          <w:u w:val="single"/>
        </w:rPr>
        <w:t xml:space="preserve">     </w:t>
      </w:r>
      <w:r>
        <w:rPr>
          <w:sz w:val="20"/>
          <w:szCs w:val="20"/>
        </w:rPr>
        <w:t>»</w:t>
      </w:r>
      <w:r>
        <w:rPr>
          <w:sz w:val="20"/>
          <w:szCs w:val="20"/>
          <w:u w:val="single"/>
        </w:rPr>
        <w:t xml:space="preserve">                      </w:t>
      </w:r>
      <w:r>
        <w:rPr>
          <w:sz w:val="20"/>
          <w:szCs w:val="20"/>
        </w:rPr>
        <w:t>20___г.</w:t>
      </w:r>
    </w:p>
    <w:p>
      <w:pPr>
        <w:pStyle w:val="Normal"/>
        <w:ind w:hanging="0" w:right="-284"/>
        <w:jc w:val="center"/>
        <w:rPr>
          <w:rFonts w:ascii="Times New Roman" w:hAnsi="Times New Roman"/>
          <w:sz w:val="20"/>
          <w:szCs w:val="20"/>
        </w:rPr>
      </w:pPr>
      <w:r>
        <w:rPr>
          <w:sz w:val="20"/>
          <w:szCs w:val="20"/>
        </w:rPr>
      </w:r>
    </w:p>
    <w:p>
      <w:pPr>
        <w:pStyle w:val="Normal"/>
        <w:ind w:hanging="0" w:right="-284"/>
        <w:jc w:val="center"/>
        <w:rPr>
          <w:rFonts w:ascii="Times New Roman" w:hAnsi="Times New Roman"/>
          <w:sz w:val="20"/>
          <w:szCs w:val="20"/>
        </w:rPr>
      </w:pPr>
      <w:r>
        <w:rPr>
          <w:sz w:val="20"/>
          <w:szCs w:val="20"/>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Normal"/>
        <w:ind w:hanging="0" w:right="-284"/>
        <w:rPr/>
      </w:pPr>
      <w:r>
        <w:rPr/>
      </w:r>
    </w:p>
    <w:p>
      <w:pPr>
        <w:pStyle w:val="Caption"/>
        <w:rPr>
          <w:rFonts w:ascii="Times New Roman" w:hAnsi="Times New Roman"/>
          <w:sz w:val="20"/>
          <w:szCs w:val="20"/>
        </w:rPr>
      </w:pPr>
      <w:r>
        <w:rPr>
          <w:b/>
          <w:sz w:val="20"/>
          <w:szCs w:val="20"/>
        </w:rPr>
        <w:t>ПЕРЕЧЕНЬ ОСНОВНЫХ СВЕДЕНИЙ</w:t>
      </w:r>
    </w:p>
    <w:p>
      <w:pPr>
        <w:pStyle w:val="Normal"/>
        <w:jc w:val="center"/>
        <w:rPr>
          <w:rFonts w:ascii="Times New Roman" w:hAnsi="Times New Roman"/>
          <w:sz w:val="20"/>
          <w:szCs w:val="20"/>
        </w:rPr>
      </w:pPr>
      <w:r>
        <w:rPr>
          <w:b/>
          <w:sz w:val="20"/>
          <w:szCs w:val="20"/>
        </w:rPr>
        <w:t>(Приложение № 1 к договору  №_____</w:t>
      </w:r>
      <w:r>
        <w:rPr>
          <w:b/>
          <w:sz w:val="20"/>
          <w:szCs w:val="20"/>
          <w:highlight w:val="white"/>
        </w:rPr>
        <w:t xml:space="preserve"> /Г/К- GSM на возмездное оказание услуг по охране имущества граждан путём оперативного реагирования на тревожные сообщения о срабатывании средств охранно - пожарной сигнализации установленных в МПХИГ</w:t>
      </w:r>
      <w:r>
        <w:rPr>
          <w:b/>
          <w:sz w:val="20"/>
          <w:szCs w:val="20"/>
        </w:rPr>
        <w:t xml:space="preserve"> )</w:t>
      </w:r>
    </w:p>
    <w:p>
      <w:pPr>
        <w:pStyle w:val="Normal"/>
        <w:tabs>
          <w:tab w:val="clear" w:pos="720"/>
          <w:tab w:val="left" w:pos="9639" w:leader="none"/>
        </w:tabs>
        <w:ind w:hanging="0" w:right="-284"/>
        <w:rPr>
          <w:rFonts w:ascii="Times New Roman" w:hAnsi="Times New Roman"/>
          <w:sz w:val="20"/>
          <w:szCs w:val="20"/>
        </w:rPr>
      </w:pPr>
      <w:r>
        <w:rPr>
          <w:sz w:val="20"/>
          <w:szCs w:val="20"/>
        </w:rPr>
      </w:r>
    </w:p>
    <w:p>
      <w:pPr>
        <w:pStyle w:val="Normal"/>
        <w:tabs>
          <w:tab w:val="clear" w:pos="720"/>
          <w:tab w:val="left" w:pos="9639" w:leader="none"/>
        </w:tabs>
        <w:ind w:hanging="0" w:right="-284"/>
        <w:rPr>
          <w:rFonts w:ascii="Times New Roman" w:hAnsi="Times New Roman"/>
          <w:sz w:val="20"/>
          <w:szCs w:val="20"/>
        </w:rPr>
      </w:pPr>
      <w:r>
        <w:rPr>
          <w:b/>
          <w:sz w:val="20"/>
          <w:szCs w:val="20"/>
        </w:rPr>
        <w:t>1.</w:t>
      </w:r>
      <w:r>
        <w:rPr>
          <w:sz w:val="20"/>
          <w:szCs w:val="20"/>
        </w:rPr>
        <w:t>На объекте по адре</w:t>
      </w:r>
      <w:r>
        <w:rPr>
          <w:sz w:val="20"/>
          <w:szCs w:val="20"/>
          <w:highlight w:val="white"/>
        </w:rPr>
        <w:t xml:space="preserve">су </w:t>
      </w:r>
      <w:r>
        <w:rPr>
          <w:b/>
          <w:sz w:val="20"/>
          <w:szCs w:val="20"/>
          <w:highlight w:val="white"/>
        </w:rPr>
        <w:t xml:space="preserve">___________________________ </w:t>
      </w:r>
      <w:r>
        <w:rPr>
          <w:sz w:val="20"/>
          <w:szCs w:val="20"/>
          <w:highlight w:val="white"/>
        </w:rPr>
        <w:t>оборудовано средствами охранной сигнализации</w:t>
      </w:r>
      <w:r>
        <w:rPr>
          <w:b w:val="false"/>
          <w:bCs w:val="false"/>
          <w:sz w:val="20"/>
          <w:szCs w:val="20"/>
          <w:highlight w:val="white"/>
        </w:rPr>
        <w:t>:</w:t>
      </w:r>
      <w:r>
        <w:rPr>
          <w:b w:val="false"/>
          <w:bCs w:val="false"/>
          <w:sz w:val="20"/>
          <w:szCs w:val="20"/>
          <w:highlight w:val="white"/>
          <w:u w:val="single"/>
        </w:rPr>
        <w:t xml:space="preserve">БРО-4 GSM,ББП, </w:t>
      </w:r>
      <w:r>
        <w:rPr>
          <w:b w:val="false"/>
          <w:bCs w:val="false"/>
          <w:sz w:val="20"/>
          <w:szCs w:val="20"/>
          <w:highlight w:val="yellow"/>
          <w:u w:val="single"/>
        </w:rPr>
        <w:t>_______________________________________________________________________________________</w:t>
      </w:r>
    </w:p>
    <w:p>
      <w:pPr>
        <w:pStyle w:val="Normal"/>
        <w:tabs>
          <w:tab w:val="clear" w:pos="720"/>
          <w:tab w:val="left" w:pos="9639" w:leader="none"/>
        </w:tabs>
        <w:ind w:hanging="0" w:right="-284"/>
        <w:rPr>
          <w:rFonts w:ascii="Times New Roman" w:hAnsi="Times New Roman"/>
          <w:b w:val="false"/>
          <w:bCs w:val="false"/>
          <w:sz w:val="20"/>
          <w:szCs w:val="20"/>
        </w:rPr>
      </w:pPr>
      <w:r>
        <w:rPr>
          <w:b w:val="false"/>
          <w:bCs w:val="false"/>
          <w:sz w:val="20"/>
          <w:szCs w:val="20"/>
          <w:highlight w:val="white"/>
        </w:rPr>
        <w:t xml:space="preserve">                                                                                                    </w:t>
      </w:r>
      <w:r>
        <w:rPr>
          <w:b w:val="false"/>
          <w:bCs w:val="false"/>
          <w:sz w:val="20"/>
          <w:szCs w:val="20"/>
        </w:rPr>
        <w:t xml:space="preserve">                               </w:t>
      </w:r>
      <w:r>
        <w:rPr>
          <w:b w:val="false"/>
          <w:bCs w:val="false"/>
          <w:sz w:val="20"/>
          <w:szCs w:val="20"/>
        </w:rPr>
        <w:t>(указать конкретные места)</w:t>
      </w:r>
    </w:p>
    <w:p>
      <w:pPr>
        <w:pStyle w:val="Normal"/>
        <w:tabs>
          <w:tab w:val="clear" w:pos="720"/>
          <w:tab w:val="left" w:pos="9639" w:leader="none"/>
        </w:tabs>
        <w:ind w:hanging="0" w:right="-284"/>
        <w:rPr>
          <w:rFonts w:ascii="Times New Roman" w:hAnsi="Times New Roman"/>
          <w:b w:val="false"/>
          <w:bCs w:val="false"/>
          <w:sz w:val="20"/>
          <w:szCs w:val="20"/>
        </w:rPr>
      </w:pPr>
      <w:r>
        <w:rPr>
          <w:b w:val="false"/>
          <w:bCs w:val="false"/>
          <w:sz w:val="20"/>
          <w:szCs w:val="20"/>
        </w:rPr>
        <w:t xml:space="preserve">2. От установки технических средств «Клиент» отказался:: </w:t>
      </w:r>
      <w:r>
        <w:rPr>
          <w:b w:val="false"/>
          <w:bCs w:val="false"/>
          <w:sz w:val="20"/>
          <w:szCs w:val="20"/>
          <w:highlight w:val="yellow"/>
          <w:u w:val="single"/>
        </w:rPr>
        <w:t>СМК  не установленно на входной двери и на окнах</w:t>
      </w:r>
      <w:r>
        <w:rPr>
          <w:b w:val="false"/>
          <w:bCs w:val="false"/>
          <w:sz w:val="20"/>
          <w:szCs w:val="20"/>
          <w:highlight w:val="yellow"/>
        </w:rPr>
        <w:t xml:space="preserve"> </w:t>
      </w:r>
    </w:p>
    <w:p>
      <w:pPr>
        <w:pStyle w:val="Normal"/>
        <w:tabs>
          <w:tab w:val="clear" w:pos="720"/>
          <w:tab w:val="left" w:pos="9639" w:leader="none"/>
        </w:tabs>
        <w:ind w:hanging="0" w:right="-284"/>
        <w:rPr>
          <w:rFonts w:ascii="Times New Roman" w:hAnsi="Times New Roman"/>
          <w:b w:val="false"/>
          <w:bCs w:val="false"/>
          <w:sz w:val="20"/>
          <w:szCs w:val="20"/>
        </w:rPr>
      </w:pPr>
      <w:r>
        <w:rPr>
          <w:b w:val="false"/>
          <w:bCs w:val="false"/>
          <w:i/>
          <w:sz w:val="20"/>
          <w:szCs w:val="20"/>
        </w:rPr>
        <w:t xml:space="preserve">                                  </w:t>
      </w:r>
      <w:r>
        <w:rPr>
          <w:b w:val="false"/>
          <w:bCs w:val="false"/>
          <w:sz w:val="20"/>
          <w:szCs w:val="20"/>
        </w:rPr>
        <w:t>(указать конкретные места)       _________________ «</w:t>
      </w:r>
      <w:r>
        <w:rPr>
          <w:b w:val="false"/>
          <w:bCs w:val="false"/>
          <w:sz w:val="20"/>
          <w:szCs w:val="20"/>
          <w:u w:val="single"/>
        </w:rPr>
        <w:t xml:space="preserve">     </w:t>
      </w:r>
      <w:r>
        <w:rPr>
          <w:b w:val="false"/>
          <w:bCs w:val="false"/>
          <w:sz w:val="20"/>
          <w:szCs w:val="20"/>
        </w:rPr>
        <w:t>»</w:t>
      </w:r>
      <w:r>
        <w:rPr>
          <w:b w:val="false"/>
          <w:bCs w:val="false"/>
          <w:sz w:val="20"/>
          <w:szCs w:val="20"/>
          <w:u w:val="single"/>
        </w:rPr>
        <w:t xml:space="preserve">                     </w:t>
      </w:r>
      <w:r>
        <w:rPr>
          <w:b w:val="false"/>
          <w:bCs w:val="false"/>
          <w:sz w:val="20"/>
          <w:szCs w:val="20"/>
        </w:rPr>
        <w:t>201__г.</w:t>
      </w:r>
    </w:p>
    <w:p>
      <w:pPr>
        <w:pStyle w:val="Normal"/>
        <w:ind w:hanging="0" w:right="-284"/>
        <w:jc w:val="center"/>
        <w:rPr>
          <w:rFonts w:ascii="Times New Roman" w:hAnsi="Times New Roman"/>
          <w:b w:val="false"/>
          <w:bCs w:val="false"/>
          <w:sz w:val="20"/>
          <w:szCs w:val="20"/>
        </w:rPr>
      </w:pPr>
      <w:r>
        <w:rPr>
          <w:b w:val="false"/>
          <w:bCs w:val="false"/>
          <w:sz w:val="20"/>
          <w:szCs w:val="20"/>
        </w:rPr>
        <w:t xml:space="preserve">                                                             </w:t>
      </w:r>
      <w:r>
        <w:rPr>
          <w:b w:val="false"/>
          <w:bCs w:val="false"/>
          <w:sz w:val="20"/>
          <w:szCs w:val="20"/>
          <w:vertAlign w:val="superscript"/>
        </w:rPr>
        <w:t xml:space="preserve">подпись  </w:t>
      </w:r>
      <w:r>
        <w:rPr>
          <w:b w:val="false"/>
          <w:bCs w:val="false"/>
          <w:sz w:val="20"/>
          <w:szCs w:val="20"/>
        </w:rPr>
        <w:t xml:space="preserve">                                </w:t>
      </w:r>
      <w:r>
        <w:rPr>
          <w:b w:val="false"/>
          <w:bCs w:val="false"/>
          <w:sz w:val="20"/>
          <w:szCs w:val="20"/>
          <w:vertAlign w:val="superscript"/>
        </w:rPr>
        <w:t>дата</w:t>
      </w:r>
    </w:p>
    <w:p>
      <w:pPr>
        <w:pStyle w:val="Normal"/>
        <w:tabs>
          <w:tab w:val="clear" w:pos="720"/>
          <w:tab w:val="left" w:pos="9639" w:leader="none"/>
        </w:tabs>
        <w:ind w:hanging="0" w:right="-284"/>
        <w:rPr>
          <w:rFonts w:ascii="Times New Roman" w:hAnsi="Times New Roman"/>
          <w:sz w:val="20"/>
          <w:szCs w:val="20"/>
        </w:rPr>
      </w:pPr>
      <w:r>
        <w:rPr>
          <w:b w:val="false"/>
          <w:bCs w:val="false"/>
          <w:sz w:val="20"/>
          <w:szCs w:val="20"/>
        </w:rPr>
        <w:t>3.От установки элементов инженерной укрепленности «Клиент» отказался:  _</w:t>
      </w:r>
      <w:r>
        <w:rPr>
          <w:b w:val="false"/>
          <w:bCs w:val="false"/>
          <w:sz w:val="20"/>
          <w:szCs w:val="20"/>
          <w:highlight w:val="yellow"/>
        </w:rPr>
        <w:t xml:space="preserve">__________________________________    </w:t>
      </w:r>
      <w:r>
        <w:rPr>
          <w:b w:val="false"/>
          <w:bCs w:val="false"/>
          <w:sz w:val="20"/>
          <w:szCs w:val="20"/>
        </w:rPr>
        <w:t xml:space="preserve">                                                                               (указать конкретные места:)                                                   _________________ «</w:t>
      </w:r>
      <w:r>
        <w:rPr>
          <w:b w:val="false"/>
          <w:bCs w:val="false"/>
          <w:sz w:val="20"/>
          <w:szCs w:val="20"/>
          <w:u w:val="single"/>
        </w:rPr>
        <w:t xml:space="preserve">     </w:t>
      </w:r>
      <w:r>
        <w:rPr>
          <w:b w:val="false"/>
          <w:bCs w:val="false"/>
          <w:sz w:val="20"/>
          <w:szCs w:val="20"/>
        </w:rPr>
        <w:t>»</w:t>
      </w:r>
      <w:r>
        <w:rPr>
          <w:b w:val="false"/>
          <w:bCs w:val="false"/>
          <w:sz w:val="20"/>
          <w:szCs w:val="20"/>
          <w:u w:val="single"/>
        </w:rPr>
        <w:t xml:space="preserve">                     </w:t>
      </w:r>
      <w:r>
        <w:rPr>
          <w:b w:val="false"/>
          <w:bCs w:val="false"/>
          <w:sz w:val="20"/>
          <w:szCs w:val="20"/>
        </w:rPr>
        <w:t>201__г.</w:t>
      </w:r>
    </w:p>
    <w:p>
      <w:pPr>
        <w:pStyle w:val="Normal"/>
        <w:tabs>
          <w:tab w:val="clear" w:pos="720"/>
          <w:tab w:val="left" w:pos="9639" w:leader="none"/>
        </w:tabs>
        <w:ind w:hanging="0" w:right="-284"/>
        <w:rPr>
          <w:rFonts w:ascii="Times New Roman" w:hAnsi="Times New Roman"/>
          <w:sz w:val="20"/>
          <w:szCs w:val="20"/>
        </w:rPr>
      </w:pPr>
      <w:r>
        <w:rPr>
          <w:sz w:val="20"/>
          <w:szCs w:val="20"/>
        </w:rPr>
      </w:r>
    </w:p>
    <w:p>
      <w:pPr>
        <w:pStyle w:val="Normal"/>
        <w:tabs>
          <w:tab w:val="clear" w:pos="720"/>
          <w:tab w:val="left" w:pos="9639" w:leader="none"/>
        </w:tabs>
        <w:ind w:hanging="0" w:right="-284"/>
        <w:rPr>
          <w:rFonts w:ascii="Times New Roman" w:hAnsi="Times New Roman"/>
          <w:sz w:val="20"/>
          <w:szCs w:val="20"/>
        </w:rPr>
      </w:pPr>
      <w:r>
        <w:rPr>
          <w:sz w:val="20"/>
          <w:szCs w:val="20"/>
        </w:rPr>
        <w:t xml:space="preserve">4.На объекте установлено устройство объектовое: СПИ "Струна 5 GSM" </w:t>
      </w:r>
    </w:p>
    <w:p>
      <w:pPr>
        <w:pStyle w:val="Normal"/>
        <w:tabs>
          <w:tab w:val="clear" w:pos="720"/>
          <w:tab w:val="left" w:pos="9639" w:leader="none"/>
        </w:tabs>
        <w:ind w:hanging="0" w:right="-284"/>
        <w:rPr>
          <w:rFonts w:ascii="Times New Roman" w:hAnsi="Times New Roman"/>
          <w:sz w:val="20"/>
          <w:szCs w:val="20"/>
        </w:rPr>
      </w:pPr>
      <w:r>
        <w:rPr>
          <w:sz w:val="20"/>
          <w:szCs w:val="20"/>
        </w:rPr>
        <w:t xml:space="preserve">                                                                                       </w:t>
      </w:r>
    </w:p>
    <w:p>
      <w:pPr>
        <w:pStyle w:val="Normal"/>
        <w:tabs>
          <w:tab w:val="clear" w:pos="720"/>
          <w:tab w:val="left" w:pos="9639" w:leader="none"/>
        </w:tabs>
        <w:ind w:hanging="0" w:right="-284"/>
        <w:rPr>
          <w:rFonts w:ascii="Times New Roman" w:hAnsi="Times New Roman"/>
          <w:sz w:val="20"/>
          <w:szCs w:val="20"/>
        </w:rPr>
      </w:pPr>
      <w:r>
        <w:rPr>
          <w:b/>
          <w:sz w:val="20"/>
          <w:szCs w:val="20"/>
        </w:rPr>
        <w:t>5.</w:t>
      </w:r>
      <w:r>
        <w:rPr>
          <w:sz w:val="20"/>
          <w:szCs w:val="20"/>
        </w:rPr>
        <w:t xml:space="preserve"> Доверенным  лицом «Клиента» является:</w:t>
        <w:softHyphen/>
        <w:softHyphen/>
        <w:softHyphen/>
        <w:softHyphen/>
      </w:r>
    </w:p>
    <w:p>
      <w:pPr>
        <w:pStyle w:val="Normal"/>
        <w:ind w:hanging="0" w:right="-284"/>
        <w:rPr>
          <w:rFonts w:ascii="Times New Roman" w:hAnsi="Times New Roman"/>
          <w:sz w:val="20"/>
          <w:szCs w:val="20"/>
        </w:rPr>
      </w:pPr>
      <w:r>
        <w:rPr>
          <w:sz w:val="20"/>
          <w:szCs w:val="20"/>
        </w:rPr>
        <w:t>1.</w:t>
      </w:r>
      <w:r>
        <w:rPr>
          <w:b/>
          <w:sz w:val="20"/>
          <w:szCs w:val="20"/>
        </w:rPr>
        <w:t xml:space="preserve"> ____________________________________________________________________________________________________     </w:t>
      </w:r>
      <w:r>
        <w:rPr>
          <w:sz w:val="20"/>
          <w:szCs w:val="20"/>
        </w:rPr>
        <w:t xml:space="preserve">                                 </w:t>
      </w:r>
    </w:p>
    <w:p>
      <w:pPr>
        <w:pStyle w:val="Normal"/>
        <w:ind w:hanging="0" w:right="-284"/>
        <w:rPr>
          <w:rFonts w:ascii="Times New Roman" w:hAnsi="Times New Roman"/>
          <w:sz w:val="20"/>
          <w:szCs w:val="20"/>
        </w:rPr>
      </w:pPr>
      <w:r>
        <w:rPr>
          <w:sz w:val="20"/>
          <w:szCs w:val="20"/>
        </w:rPr>
        <w:t xml:space="preserve">                           </w:t>
      </w:r>
      <w:r>
        <w:rPr>
          <w:sz w:val="20"/>
          <w:szCs w:val="20"/>
        </w:rPr>
        <w:t>(фамилия, имя, отчество)</w:t>
      </w:r>
    </w:p>
    <w:p>
      <w:pPr>
        <w:pStyle w:val="Normal"/>
        <w:tabs>
          <w:tab w:val="clear" w:pos="720"/>
          <w:tab w:val="left" w:pos="9639" w:leader="none"/>
        </w:tabs>
        <w:ind w:hanging="0" w:right="-284"/>
        <w:rPr>
          <w:rFonts w:ascii="Times New Roman" w:hAnsi="Times New Roman"/>
          <w:sz w:val="20"/>
          <w:szCs w:val="20"/>
        </w:rPr>
      </w:pPr>
      <w:r>
        <w:rPr>
          <w:sz w:val="20"/>
          <w:szCs w:val="20"/>
        </w:rPr>
        <w:t xml:space="preserve">Проживающий (ая) по адресу: </w:t>
      </w:r>
      <w:r>
        <w:rPr>
          <w:sz w:val="20"/>
          <w:szCs w:val="20"/>
          <w:u w:val="single"/>
        </w:rPr>
        <w:t xml:space="preserve"> 1.                                                                                                                         Ключ № </w:t>
      </w:r>
      <w:r>
        <w:rPr>
          <w:sz w:val="20"/>
          <w:szCs w:val="20"/>
          <w:u w:val="none"/>
        </w:rPr>
        <w:t>_____</w:t>
      </w:r>
    </w:p>
    <w:p>
      <w:pPr>
        <w:pStyle w:val="Normal"/>
        <w:ind w:hanging="0" w:right="-284"/>
        <w:rPr>
          <w:rFonts w:ascii="Times New Roman" w:hAnsi="Times New Roman"/>
          <w:sz w:val="20"/>
          <w:szCs w:val="20"/>
        </w:rPr>
      </w:pPr>
      <w:r>
        <w:rPr>
          <w:sz w:val="20"/>
          <w:szCs w:val="20"/>
        </w:rPr>
        <w:t>2. _______________________________________________________________________________________Ключ №______</w:t>
      </w:r>
    </w:p>
    <w:p>
      <w:pPr>
        <w:pStyle w:val="Normal"/>
        <w:tabs>
          <w:tab w:val="clear" w:pos="720"/>
          <w:tab w:val="left" w:pos="9639" w:leader="none"/>
        </w:tabs>
        <w:ind w:hanging="0" w:right="-284"/>
        <w:rPr>
          <w:rFonts w:ascii="Times New Roman" w:hAnsi="Times New Roman"/>
          <w:sz w:val="20"/>
          <w:szCs w:val="20"/>
        </w:rPr>
      </w:pPr>
      <w:r>
        <w:rPr>
          <w:sz w:val="20"/>
          <w:szCs w:val="20"/>
        </w:rPr>
        <w:t xml:space="preserve">                           </w:t>
      </w:r>
      <w:r>
        <w:rPr>
          <w:sz w:val="20"/>
          <w:szCs w:val="20"/>
        </w:rPr>
        <w:t>(фамилия, имя, отчество)</w:t>
      </w:r>
    </w:p>
    <w:p>
      <w:pPr>
        <w:pStyle w:val="Normal"/>
        <w:tabs>
          <w:tab w:val="clear" w:pos="720"/>
          <w:tab w:val="left" w:pos="9639" w:leader="none"/>
        </w:tabs>
        <w:ind w:hanging="0" w:right="-284"/>
        <w:rPr>
          <w:rFonts w:ascii="Times New Roman" w:hAnsi="Times New Roman"/>
          <w:sz w:val="20"/>
          <w:szCs w:val="20"/>
        </w:rPr>
      </w:pPr>
      <w:r>
        <w:rPr>
          <w:sz w:val="20"/>
          <w:szCs w:val="20"/>
        </w:rPr>
        <w:t>Проживающий (ая) по адресу:</w:t>
      </w:r>
      <w:r>
        <w:rPr>
          <w:b w:val="false"/>
          <w:bCs w:val="false"/>
          <w:sz w:val="20"/>
          <w:szCs w:val="20"/>
        </w:rPr>
        <w:t xml:space="preserve"> </w:t>
      </w:r>
      <w:r>
        <w:rPr>
          <w:b w:val="false"/>
          <w:bCs w:val="false"/>
          <w:i/>
          <w:sz w:val="20"/>
          <w:szCs w:val="20"/>
          <w:u w:val="none"/>
        </w:rPr>
        <w:t>______________________________________________________________</w:t>
      </w:r>
      <w:r>
        <w:rPr>
          <w:b w:val="false"/>
          <w:bCs w:val="false"/>
          <w:i w:val="false"/>
          <w:iCs w:val="false"/>
          <w:sz w:val="20"/>
          <w:szCs w:val="20"/>
          <w:u w:val="none"/>
        </w:rPr>
        <w:t>Ключ № ______</w:t>
      </w:r>
    </w:p>
    <w:p>
      <w:pPr>
        <w:pStyle w:val="Normal"/>
        <w:tabs>
          <w:tab w:val="clear" w:pos="720"/>
          <w:tab w:val="left" w:pos="9639" w:leader="none"/>
        </w:tabs>
        <w:ind w:hanging="0" w:right="-284"/>
        <w:rPr>
          <w:rFonts w:ascii="Times New Roman" w:hAnsi="Times New Roman"/>
          <w:sz w:val="20"/>
          <w:szCs w:val="20"/>
        </w:rPr>
      </w:pPr>
      <w:r>
        <w:rPr>
          <w:b/>
          <w:bCs/>
          <w:i/>
          <w:sz w:val="20"/>
          <w:szCs w:val="20"/>
          <w:u w:val="single"/>
        </w:rPr>
        <w:t xml:space="preserve"> </w:t>
      </w:r>
      <w:r>
        <w:rPr>
          <w:b/>
          <w:bCs/>
          <w:i w:val="false"/>
          <w:iCs w:val="false"/>
          <w:sz w:val="20"/>
          <w:szCs w:val="20"/>
          <w:u w:val="none"/>
        </w:rPr>
        <w:t>6</w:t>
      </w:r>
      <w:r>
        <w:rPr>
          <w:b w:val="false"/>
          <w:bCs w:val="false"/>
          <w:i w:val="false"/>
          <w:iCs w:val="false"/>
          <w:sz w:val="20"/>
          <w:szCs w:val="20"/>
          <w:u w:val="none"/>
        </w:rPr>
        <w:t xml:space="preserve"> Лица</w:t>
      </w:r>
      <w:r>
        <w:rPr>
          <w:sz w:val="20"/>
          <w:szCs w:val="20"/>
        </w:rPr>
        <w:t xml:space="preserve"> совместно проживающие с </w:t>
      </w:r>
      <w:r>
        <w:rPr>
          <w:b/>
          <w:sz w:val="20"/>
          <w:szCs w:val="20"/>
        </w:rPr>
        <w:t>КЛИЕНТОМ</w:t>
      </w:r>
      <w:r>
        <w:rPr>
          <w:sz w:val="20"/>
          <w:szCs w:val="20"/>
        </w:rPr>
        <w:t>, и члены его семьи:</w:t>
      </w:r>
    </w:p>
    <w:p>
      <w:pPr>
        <w:pStyle w:val="Normal"/>
        <w:ind w:hanging="0" w:right="-284"/>
        <w:rPr>
          <w:rFonts w:ascii="Times New Roman" w:hAnsi="Times New Roman"/>
          <w:sz w:val="20"/>
          <w:szCs w:val="20"/>
        </w:rPr>
      </w:pPr>
      <w:r>
        <w:rPr>
          <w:sz w:val="20"/>
          <w:szCs w:val="20"/>
        </w:rPr>
        <w:t xml:space="preserve">1. </w:t>
      </w:r>
      <w:r>
        <w:rPr>
          <w:sz w:val="20"/>
          <w:szCs w:val="20"/>
          <w:u w:val="none"/>
        </w:rPr>
        <w:t>нет</w:t>
      </w:r>
    </w:p>
    <w:p>
      <w:pPr>
        <w:pStyle w:val="Normal"/>
        <w:tabs>
          <w:tab w:val="clear" w:pos="720"/>
          <w:tab w:val="left" w:pos="9639" w:leader="none"/>
        </w:tabs>
        <w:ind w:hanging="0" w:right="-284"/>
        <w:rPr>
          <w:rFonts w:ascii="Times New Roman" w:hAnsi="Times New Roman"/>
          <w:sz w:val="20"/>
          <w:szCs w:val="20"/>
        </w:rPr>
      </w:pPr>
      <w:r>
        <w:rPr>
          <w:sz w:val="20"/>
          <w:szCs w:val="20"/>
        </w:rPr>
        <w:t xml:space="preserve">                           </w:t>
      </w:r>
      <w:r>
        <w:rPr>
          <w:sz w:val="20"/>
          <w:szCs w:val="20"/>
        </w:rPr>
        <w:t>(фамилия, имя, отчество)</w:t>
      </w:r>
    </w:p>
    <w:p>
      <w:pPr>
        <w:pStyle w:val="Normal"/>
        <w:tabs>
          <w:tab w:val="clear" w:pos="720"/>
          <w:tab w:val="left" w:pos="9639" w:leader="none"/>
        </w:tabs>
        <w:ind w:hanging="0" w:right="-284"/>
        <w:rPr>
          <w:rFonts w:ascii="Times New Roman" w:hAnsi="Times New Roman"/>
          <w:sz w:val="20"/>
          <w:szCs w:val="20"/>
        </w:rPr>
      </w:pPr>
      <w:r>
        <w:rPr>
          <w:b/>
          <w:bCs/>
          <w:sz w:val="20"/>
          <w:szCs w:val="20"/>
        </w:rPr>
        <w:t>7</w:t>
      </w:r>
      <w:r>
        <w:rPr>
          <w:sz w:val="20"/>
          <w:szCs w:val="20"/>
        </w:rPr>
        <w:t xml:space="preserve">.  Ключи от входной двери «Объекта» на хранение в количестве: входной двери калитка, </w:t>
      </w:r>
      <w:r>
        <w:rPr>
          <w:b/>
          <w:sz w:val="20"/>
          <w:szCs w:val="20"/>
        </w:rPr>
        <w:t xml:space="preserve">код подъезда -нет, </w:t>
      </w:r>
      <w:r>
        <w:rPr>
          <w:sz w:val="20"/>
          <w:szCs w:val="20"/>
        </w:rPr>
        <w:t xml:space="preserve"> подъезда- нет, холла- нет, </w:t>
      </w:r>
      <w:r>
        <w:rPr>
          <w:b/>
          <w:sz w:val="20"/>
          <w:szCs w:val="20"/>
        </w:rPr>
        <w:t xml:space="preserve">тамбур  </w:t>
      </w:r>
      <w:r>
        <w:rPr>
          <w:b/>
          <w:sz w:val="20"/>
          <w:szCs w:val="20"/>
          <w:u w:val="single"/>
        </w:rPr>
        <w:t xml:space="preserve">нет </w:t>
      </w:r>
      <w:r>
        <w:rPr>
          <w:b/>
          <w:sz w:val="20"/>
          <w:szCs w:val="20"/>
        </w:rPr>
        <w:t>ключа,</w:t>
      </w:r>
      <w:r>
        <w:rPr>
          <w:sz w:val="20"/>
          <w:szCs w:val="20"/>
        </w:rPr>
        <w:t xml:space="preserve"> на лестничной площадке в количестве</w:t>
      </w:r>
      <w:r>
        <w:rPr>
          <w:i/>
          <w:sz w:val="20"/>
          <w:szCs w:val="20"/>
        </w:rPr>
        <w:t>_____</w:t>
      </w:r>
      <w:r>
        <w:rPr>
          <w:sz w:val="20"/>
          <w:szCs w:val="20"/>
        </w:rPr>
        <w:t>штук принял:_нет</w:t>
      </w:r>
    </w:p>
    <w:p>
      <w:pPr>
        <w:pStyle w:val="Normal"/>
        <w:tabs>
          <w:tab w:val="clear" w:pos="720"/>
          <w:tab w:val="left" w:pos="9639" w:leader="none"/>
        </w:tabs>
        <w:ind w:hanging="0" w:right="-284"/>
        <w:rPr>
          <w:rFonts w:ascii="Times New Roman" w:hAnsi="Times New Roman"/>
          <w:sz w:val="20"/>
          <w:szCs w:val="20"/>
        </w:rPr>
      </w:pPr>
      <w:r>
        <w:rPr>
          <w:sz w:val="20"/>
          <w:szCs w:val="20"/>
        </w:rPr>
        <w:t>должность, фамилия, имя, отчество, дата, роспись).</w:t>
      </w:r>
    </w:p>
    <w:p>
      <w:pPr>
        <w:pStyle w:val="Normal"/>
        <w:tabs>
          <w:tab w:val="clear" w:pos="720"/>
          <w:tab w:val="left" w:pos="9639" w:leader="none"/>
        </w:tabs>
        <w:ind w:hanging="0" w:right="-284"/>
        <w:rPr>
          <w:rFonts w:ascii="Times New Roman" w:hAnsi="Times New Roman"/>
          <w:sz w:val="20"/>
          <w:szCs w:val="20"/>
        </w:rPr>
      </w:pPr>
      <w:r>
        <w:rPr>
          <w:b/>
          <w:sz w:val="20"/>
          <w:szCs w:val="20"/>
        </w:rPr>
        <w:t>8.</w:t>
      </w:r>
      <w:r>
        <w:rPr>
          <w:sz w:val="20"/>
          <w:szCs w:val="20"/>
        </w:rPr>
        <w:t xml:space="preserve"> Код запирающего устройства н</w:t>
      </w:r>
      <w:r>
        <w:rPr>
          <w:sz w:val="20"/>
          <w:szCs w:val="20"/>
          <w:highlight w:val="white"/>
        </w:rPr>
        <w:t xml:space="preserve">а входной двери подъезда </w:t>
      </w:r>
      <w:r>
        <w:rPr>
          <w:b/>
          <w:sz w:val="20"/>
          <w:szCs w:val="20"/>
          <w:highlight w:val="white"/>
        </w:rPr>
        <w:t>_________________________________</w:t>
      </w:r>
      <w:r>
        <w:rPr>
          <w:sz w:val="20"/>
          <w:szCs w:val="20"/>
          <w:highlight w:val="white"/>
          <w:u w:val="single"/>
        </w:rPr>
        <w:t xml:space="preserve">  </w:t>
      </w:r>
      <w:r>
        <w:rPr>
          <w:b/>
          <w:i/>
          <w:sz w:val="20"/>
          <w:szCs w:val="20"/>
          <w:highlight w:val="white"/>
          <w:u w:val="single"/>
        </w:rPr>
        <w:t xml:space="preserve">  </w:t>
      </w:r>
    </w:p>
    <w:p>
      <w:pPr>
        <w:pStyle w:val="Normal"/>
        <w:tabs>
          <w:tab w:val="clear" w:pos="720"/>
          <w:tab w:val="left" w:pos="9639" w:leader="none"/>
        </w:tabs>
        <w:ind w:hanging="0" w:right="-284"/>
        <w:rPr>
          <w:highlight w:val="white"/>
        </w:rPr>
      </w:pPr>
      <w:r>
        <w:rPr>
          <w:b/>
          <w:sz w:val="20"/>
          <w:szCs w:val="20"/>
          <w:highlight w:val="white"/>
        </w:rPr>
        <w:t>9.</w:t>
      </w:r>
      <w:r>
        <w:rPr>
          <w:sz w:val="20"/>
          <w:szCs w:val="20"/>
          <w:highlight w:val="white"/>
        </w:rPr>
        <w:t xml:space="preserve"> Пультовые данные </w:t>
      </w:r>
      <w:r>
        <w:rPr>
          <w:b/>
          <w:sz w:val="20"/>
          <w:szCs w:val="20"/>
          <w:highlight w:val="white"/>
        </w:rPr>
        <w:t xml:space="preserve"> 1 РСПИ «Струна» ( </w:t>
      </w:r>
      <w:r>
        <w:rPr>
          <w:sz w:val="20"/>
          <w:szCs w:val="20"/>
          <w:highlight w:val="white"/>
        </w:rPr>
        <w:t>№ пульта, тип, направление, номер ответчика)</w:t>
      </w:r>
    </w:p>
    <w:p>
      <w:pPr>
        <w:pStyle w:val="Normal"/>
        <w:tabs>
          <w:tab w:val="clear" w:pos="720"/>
          <w:tab w:val="left" w:pos="9639" w:leader="none"/>
        </w:tabs>
        <w:ind w:hanging="0" w:right="-284"/>
        <w:jc w:val="both"/>
        <w:rPr>
          <w:highlight w:val="white"/>
        </w:rPr>
      </w:pPr>
      <w:r>
        <w:rPr>
          <w:b/>
          <w:sz w:val="20"/>
          <w:szCs w:val="20"/>
          <w:highlight w:val="white"/>
        </w:rPr>
        <w:t>10.</w:t>
      </w:r>
      <w:r>
        <w:rPr>
          <w:sz w:val="20"/>
          <w:szCs w:val="20"/>
          <w:highlight w:val="white"/>
        </w:rPr>
        <w:t xml:space="preserve"> Телефоны: пункта централизованной охраны:____________________________________________                                                                                                                                                                                    </w:t>
      </w:r>
    </w:p>
    <w:p>
      <w:pPr>
        <w:pStyle w:val="Normal"/>
        <w:tabs>
          <w:tab w:val="clear" w:pos="720"/>
          <w:tab w:val="left" w:pos="9639" w:leader="none"/>
        </w:tabs>
        <w:ind w:hanging="0" w:right="-284"/>
        <w:rPr>
          <w:highlight w:val="white"/>
        </w:rPr>
      </w:pPr>
      <w:r>
        <w:rPr>
          <w:b/>
          <w:sz w:val="20"/>
          <w:szCs w:val="20"/>
          <w:highlight w:val="white"/>
        </w:rPr>
        <w:t>11.</w:t>
      </w:r>
      <w:r>
        <w:rPr>
          <w:sz w:val="20"/>
          <w:szCs w:val="20"/>
          <w:highlight w:val="white"/>
        </w:rPr>
        <w:t xml:space="preserve"> Вскрытие и осмотр «Объекта» производится</w:t>
      </w:r>
      <w:r>
        <w:rPr>
          <w:b/>
          <w:sz w:val="20"/>
          <w:szCs w:val="20"/>
          <w:highlight w:val="white"/>
        </w:rPr>
        <w:t xml:space="preserve">  ____________________________________________  </w:t>
      </w:r>
    </w:p>
    <w:p>
      <w:pPr>
        <w:pStyle w:val="Normal"/>
        <w:tabs>
          <w:tab w:val="clear" w:pos="720"/>
          <w:tab w:val="left" w:pos="9639" w:leader="none"/>
        </w:tabs>
        <w:ind w:hanging="0" w:right="-284"/>
        <w:rPr>
          <w:rFonts w:ascii="Times New Roman" w:hAnsi="Times New Roman"/>
          <w:sz w:val="20"/>
          <w:szCs w:val="20"/>
        </w:rPr>
      </w:pPr>
      <w:r>
        <w:rPr>
          <w:b/>
          <w:sz w:val="20"/>
          <w:szCs w:val="20"/>
          <w:highlight w:val="white"/>
        </w:rPr>
        <w:t xml:space="preserve">                                                                                      </w:t>
      </w:r>
      <w:r>
        <w:rPr>
          <w:b/>
          <w:sz w:val="20"/>
          <w:szCs w:val="20"/>
          <w:highlight w:val="white"/>
        </w:rPr>
        <w:t xml:space="preserve">( </w:t>
      </w:r>
      <w:r>
        <w:rPr>
          <w:sz w:val="20"/>
          <w:szCs w:val="20"/>
          <w:highlight w:val="white"/>
        </w:rPr>
        <w:t>с понятыми, без понятых, подпись «Клиента»)</w:t>
      </w:r>
      <w:r>
        <w:rPr>
          <w:b/>
          <w:sz w:val="20"/>
          <w:szCs w:val="20"/>
          <w:highlight w:val="white"/>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r>
        <w:rPr>
          <w:b/>
          <w:sz w:val="20"/>
          <w:szCs w:val="20"/>
        </w:rPr>
        <w:t xml:space="preserve">                                                                                                                                                                                                                                                                                                                                                                                                                                                                                                                                                                                                                                                                                                                                                                                                                                                                                                                                                                                                                                                                                                                                                                                                                                                </w:t>
      </w:r>
      <w:r>
        <w:rPr>
          <w:sz w:val="20"/>
          <w:szCs w:val="20"/>
        </w:rPr>
        <w:t xml:space="preserve">                                                                                                          </w:t>
      </w:r>
    </w:p>
    <w:p>
      <w:pPr>
        <w:pStyle w:val="Normal"/>
        <w:ind w:hanging="0" w:right="-284"/>
        <w:rPr>
          <w:rFonts w:ascii="Times New Roman" w:hAnsi="Times New Roman"/>
          <w:sz w:val="20"/>
          <w:szCs w:val="20"/>
        </w:rPr>
      </w:pPr>
      <w:r>
        <w:rPr>
          <w:b/>
          <w:sz w:val="20"/>
          <w:szCs w:val="20"/>
        </w:rPr>
        <w:t>13.</w:t>
      </w:r>
      <w:r>
        <w:rPr>
          <w:sz w:val="20"/>
          <w:szCs w:val="20"/>
        </w:rPr>
        <w:t>Стоимость услуг «Охраны»</w:t>
      </w:r>
      <w:r>
        <w:rPr>
          <w:b/>
          <w:sz w:val="20"/>
          <w:szCs w:val="20"/>
        </w:rPr>
        <w:t>:</w:t>
      </w:r>
      <w:r>
        <w:rPr>
          <w:sz w:val="20"/>
          <w:szCs w:val="20"/>
        </w:rPr>
        <w:t xml:space="preserve"> </w:t>
      </w:r>
    </w:p>
    <w:tbl>
      <w:tblPr>
        <w:tblW w:w="9854"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1668"/>
        <w:gridCol w:w="3259"/>
        <w:gridCol w:w="2463"/>
        <w:gridCol w:w="2463"/>
      </w:tblGrid>
      <w:tr>
        <w:trPr/>
        <w:tc>
          <w:tcPr>
            <w:tcW w:w="1668"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Сумма оценки имущества ( в рублях)</w:t>
            </w:r>
          </w:p>
        </w:tc>
        <w:tc>
          <w:tcPr>
            <w:tcW w:w="3259" w:type="dxa"/>
            <w:tcBorders>
              <w:top w:val="single" w:sz="4" w:space="0" w:color="000000"/>
              <w:left w:val="single" w:sz="4" w:space="0" w:color="000000"/>
              <w:bottom w:val="single" w:sz="4" w:space="0" w:color="000000"/>
              <w:right w:val="single" w:sz="4" w:space="0" w:color="000000"/>
            </w:tcBorders>
          </w:tcPr>
          <w:p>
            <w:pPr>
              <w:pStyle w:val="Normal"/>
              <w:jc w:val="center"/>
              <w:rPr>
                <w:b/>
              </w:rPr>
            </w:pPr>
            <w:r>
              <w:rPr>
                <w:b/>
              </w:rPr>
              <w:t>Плата за контроль за «Комплексом» в месяц</w:t>
            </w:r>
          </w:p>
          <w:p>
            <w:pPr>
              <w:pStyle w:val="Normal"/>
              <w:jc w:val="center"/>
              <w:rPr>
                <w:b/>
              </w:rPr>
            </w:pPr>
            <w:r>
              <w:rPr>
                <w:b/>
                <w:sz w:val="20"/>
                <w:szCs w:val="20"/>
              </w:rPr>
              <w:t>(в рублях)</w:t>
            </w:r>
          </w:p>
        </w:tc>
        <w:tc>
          <w:tcPr>
            <w:tcW w:w="2463"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Компенсация затрат за амортизацию задействованной емкости програмно-аппаратной части СЦН</w:t>
            </w:r>
          </w:p>
        </w:tc>
        <w:tc>
          <w:tcPr>
            <w:tcW w:w="2463"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Итого сумма к оплате в месяц (в рублях)</w:t>
            </w:r>
          </w:p>
        </w:tc>
      </w:tr>
      <w:tr>
        <w:trPr/>
        <w:tc>
          <w:tcPr>
            <w:tcW w:w="1668"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Без оценки имущества</w:t>
            </w:r>
          </w:p>
        </w:tc>
        <w:tc>
          <w:tcPr>
            <w:tcW w:w="3259"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250-00</w:t>
            </w:r>
          </w:p>
        </w:tc>
        <w:tc>
          <w:tcPr>
            <w:tcW w:w="2463"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w:t>
            </w:r>
          </w:p>
        </w:tc>
        <w:tc>
          <w:tcPr>
            <w:tcW w:w="2463"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250-00</w:t>
            </w:r>
          </w:p>
        </w:tc>
      </w:tr>
      <w:tr>
        <w:trPr/>
        <w:tc>
          <w:tcPr>
            <w:tcW w:w="1668" w:type="dxa"/>
            <w:tcBorders>
              <w:top w:val="single" w:sz="4" w:space="0" w:color="000000"/>
              <w:left w:val="single" w:sz="4" w:space="0" w:color="000000"/>
              <w:bottom w:val="single" w:sz="4" w:space="0" w:color="000000"/>
              <w:right w:val="single" w:sz="4" w:space="0" w:color="000000"/>
            </w:tcBorders>
          </w:tcPr>
          <w:p>
            <w:pPr>
              <w:pStyle w:val="Normal"/>
              <w:jc w:val="center"/>
              <w:rPr>
                <w:rFonts w:ascii="Times New Roman" w:hAnsi="Times New Roman"/>
                <w:sz w:val="20"/>
                <w:szCs w:val="20"/>
              </w:rPr>
            </w:pPr>
            <w:r>
              <w:rPr>
                <w:b/>
                <w:sz w:val="20"/>
                <w:szCs w:val="20"/>
              </w:rPr>
              <w:t>Без оценки имущества</w:t>
            </w:r>
          </w:p>
        </w:tc>
        <w:tc>
          <w:tcPr>
            <w:tcW w:w="3259" w:type="dxa"/>
            <w:tcBorders>
              <w:top w:val="single" w:sz="4" w:space="0" w:color="000000"/>
              <w:left w:val="single" w:sz="4" w:space="0" w:color="000000"/>
              <w:bottom w:val="single" w:sz="4" w:space="0" w:color="000000"/>
              <w:right w:val="single" w:sz="4" w:space="0" w:color="000000"/>
            </w:tcBorders>
          </w:tcPr>
          <w:p>
            <w:pPr>
              <w:pStyle w:val="Normal"/>
              <w:widowControl w:val="false"/>
              <w:ind w:hanging="0" w:right="-284"/>
              <w:jc w:val="center"/>
              <w:rPr/>
            </w:pPr>
            <w:r>
              <w:rPr>
                <w:b/>
                <w:sz w:val="18"/>
                <w:szCs w:val="18"/>
              </w:rPr>
              <w:t>В случае приостановки</w:t>
            </w:r>
          </w:p>
          <w:p>
            <w:pPr>
              <w:pStyle w:val="Normal"/>
              <w:widowControl w:val="false"/>
              <w:ind w:hanging="0" w:right="-284"/>
              <w:jc w:val="center"/>
              <w:rPr/>
            </w:pPr>
            <w:r>
              <w:rPr>
                <w:b/>
                <w:sz w:val="18"/>
                <w:szCs w:val="18"/>
              </w:rPr>
              <w:t>действия договора</w:t>
            </w:r>
          </w:p>
        </w:tc>
        <w:tc>
          <w:tcPr>
            <w:tcW w:w="2463" w:type="dxa"/>
            <w:tcBorders>
              <w:top w:val="single" w:sz="4" w:space="0" w:color="000000"/>
              <w:left w:val="single" w:sz="4" w:space="0" w:color="000000"/>
              <w:bottom w:val="single" w:sz="4" w:space="0" w:color="000000"/>
              <w:right w:val="single" w:sz="4" w:space="0" w:color="000000"/>
            </w:tcBorders>
          </w:tcPr>
          <w:p>
            <w:pPr>
              <w:pStyle w:val="Normal"/>
              <w:widowControl w:val="false"/>
              <w:ind w:hanging="0" w:right="-284"/>
              <w:jc w:val="center"/>
              <w:rPr>
                <w:b/>
              </w:rPr>
            </w:pPr>
            <w:r>
              <w:rPr>
                <w:b/>
              </w:rPr>
              <w:t>10 руб. 00 коп.</w:t>
            </w:r>
          </w:p>
        </w:tc>
        <w:tc>
          <w:tcPr>
            <w:tcW w:w="2463" w:type="dxa"/>
            <w:tcBorders>
              <w:top w:val="single" w:sz="4" w:space="0" w:color="000000"/>
              <w:left w:val="single" w:sz="4" w:space="0" w:color="000000"/>
              <w:bottom w:val="single" w:sz="4" w:space="0" w:color="000000"/>
              <w:right w:val="single" w:sz="4" w:space="0" w:color="000000"/>
            </w:tcBorders>
          </w:tcPr>
          <w:p>
            <w:pPr>
              <w:pStyle w:val="Normal"/>
              <w:widowControl w:val="false"/>
              <w:ind w:hanging="0" w:right="-284"/>
              <w:jc w:val="center"/>
              <w:rPr>
                <w:b/>
              </w:rPr>
            </w:pPr>
            <w:r>
              <w:rPr>
                <w:b/>
              </w:rPr>
              <w:t>10 руб. 00 коп.</w:t>
            </w:r>
          </w:p>
        </w:tc>
      </w:tr>
    </w:tbl>
    <w:p>
      <w:pPr>
        <w:pStyle w:val="Normal"/>
        <w:ind w:hanging="0" w:right="-284"/>
        <w:rPr>
          <w:rFonts w:ascii="Times New Roman" w:hAnsi="Times New Roman"/>
          <w:sz w:val="20"/>
          <w:szCs w:val="20"/>
        </w:rPr>
      </w:pPr>
      <w:r>
        <w:rPr>
          <w:sz w:val="20"/>
          <w:szCs w:val="20"/>
        </w:rPr>
        <w:t>Оплата производится ежемесячно до 20-го числа текущего месяца:</w:t>
      </w:r>
    </w:p>
    <w:p>
      <w:pPr>
        <w:pStyle w:val="Normal"/>
        <w:numPr>
          <w:ilvl w:val="0"/>
          <w:numId w:val="0"/>
        </w:numPr>
        <w:ind w:hanging="0" w:left="0" w:right="-284"/>
        <w:jc w:val="both"/>
        <w:outlineLvl w:val="0"/>
        <w:rPr>
          <w:rFonts w:ascii="Times New Roman" w:hAnsi="Times New Roman"/>
          <w:sz w:val="20"/>
          <w:szCs w:val="20"/>
        </w:rPr>
      </w:pPr>
      <w:r>
        <w:rPr>
          <w:b/>
          <w:sz w:val="20"/>
          <w:szCs w:val="20"/>
          <w:u w:val="single"/>
        </w:rPr>
        <w:t xml:space="preserve">ОХРАНА: </w:t>
      </w:r>
      <w:r>
        <w:rPr>
          <w:b w:val="false"/>
          <w:bCs w:val="false"/>
          <w:color w:val="000000"/>
          <w:sz w:val="20"/>
          <w:szCs w:val="20"/>
          <w:u w:val="single"/>
        </w:rPr>
        <w:t xml:space="preserve">Федеральное государственное казенного учреждение </w:t>
      </w:r>
      <w:r>
        <w:rPr>
          <w:b w:val="false"/>
          <w:bCs w:val="false"/>
          <w:color w:val="000000"/>
          <w:sz w:val="20"/>
          <w:szCs w:val="20"/>
        </w:rPr>
        <w:t xml:space="preserve"> «Отдел вневедомственной  охраны войск национальной гвардии Российской Федерации по Астраханской области» </w:t>
      </w:r>
      <w:r>
        <w:rPr>
          <w:color w:val="000000"/>
          <w:sz w:val="20"/>
          <w:szCs w:val="20"/>
        </w:rPr>
        <w:t>ФГКУ «ОВО ВНГ России по Астраханской области».</w:t>
      </w:r>
    </w:p>
    <w:p>
      <w:pPr>
        <w:pStyle w:val="Normal"/>
        <w:widowControl/>
        <w:bidi w:val="0"/>
        <w:spacing w:before="0" w:after="0"/>
        <w:ind w:hanging="0" w:left="0" w:right="0"/>
        <w:jc w:val="left"/>
        <w:rPr>
          <w:rFonts w:ascii="Times New Roman" w:hAnsi="Times New Roman"/>
          <w:color w:val="000000"/>
          <w:sz w:val="20"/>
          <w:szCs w:val="20"/>
        </w:rPr>
      </w:pPr>
      <w:r>
        <w:rPr>
          <w:color w:val="000000"/>
          <w:sz w:val="20"/>
          <w:szCs w:val="20"/>
        </w:rPr>
        <w:t>Юридический адрес: 414000, г. Астрахань, ул. Адмиралтейская зд. 7 УФК по Астраханской области (ФГКУ  «ОВО ВНГ России по Астраханской области  л/с 04251D11720 »),  ОГРН 1123015002110, ИНН 3015096808КПП 301901001</w:t>
      </w:r>
    </w:p>
    <w:p>
      <w:pPr>
        <w:pStyle w:val="Normal"/>
        <w:widowControl/>
        <w:bidi w:val="0"/>
        <w:spacing w:before="0" w:after="0"/>
        <w:ind w:hanging="0" w:left="0" w:right="0"/>
        <w:jc w:val="left"/>
        <w:rPr>
          <w:rFonts w:ascii="Times New Roman" w:hAnsi="Times New Roman"/>
          <w:color w:val="000000"/>
          <w:sz w:val="20"/>
          <w:szCs w:val="20"/>
        </w:rPr>
      </w:pPr>
      <w:r>
        <w:rPr>
          <w:color w:val="000000"/>
          <w:sz w:val="20"/>
          <w:szCs w:val="20"/>
        </w:rPr>
        <w:t>Банк получателя  ОТДЕЛЕНИЕ  АСТРАХАНЬ БАНКА РОССИИ//УФК  по Астраханской области  г. Астрахань</w:t>
      </w:r>
    </w:p>
    <w:p>
      <w:pPr>
        <w:pStyle w:val="Normal"/>
        <w:widowControl/>
        <w:bidi w:val="0"/>
        <w:spacing w:before="0" w:after="0"/>
        <w:ind w:hanging="0" w:left="0" w:right="0"/>
        <w:jc w:val="left"/>
        <w:rPr>
          <w:rFonts w:ascii="Times New Roman" w:hAnsi="Times New Roman"/>
          <w:sz w:val="20"/>
          <w:szCs w:val="20"/>
        </w:rPr>
      </w:pPr>
      <w:r>
        <w:rPr>
          <w:color w:val="000000"/>
          <w:sz w:val="20"/>
          <w:szCs w:val="20"/>
        </w:rPr>
        <w:t>БИК 011203901, КС  03100643000000012500,  ЕКС 40102810445370000017, КБК 18011301081017000130 ОКПО 08683659, ОКВЭД 84.24ОКФС 12, ОКОПФ 75104, ОКТМО 12701000, ОКОГУ 1319818</w:t>
      </w:r>
      <w:r>
        <w:rPr>
          <w:b w:val="false"/>
          <w:bCs w:val="false"/>
          <w:color w:val="000000"/>
          <w:sz w:val="20"/>
          <w:szCs w:val="20"/>
        </w:rPr>
        <w:t>Телефон: __________________; фак</w:t>
      </w:r>
      <w:r>
        <w:rPr>
          <w:b w:val="false"/>
          <w:bCs w:val="false"/>
          <w:color w:val="000000"/>
          <w:sz w:val="20"/>
          <w:szCs w:val="20"/>
          <w:highlight w:val="white"/>
        </w:rPr>
        <w:t>с .</w:t>
      </w:r>
      <w:r>
        <w:rPr>
          <w:sz w:val="20"/>
          <w:szCs w:val="20"/>
          <w:highlight w:val="white"/>
        </w:rPr>
        <w:t>Фактический адрес: ___________________________________________________________</w:t>
      </w:r>
    </w:p>
    <w:p>
      <w:pPr>
        <w:pStyle w:val="Normal"/>
        <w:jc w:val="both"/>
        <w:rPr>
          <w:rFonts w:ascii="Times New Roman" w:hAnsi="Times New Roman"/>
          <w:sz w:val="20"/>
          <w:szCs w:val="20"/>
          <w:highlight w:val="white"/>
        </w:rPr>
      </w:pPr>
      <w:r>
        <w:rPr>
          <w:sz w:val="20"/>
          <w:szCs w:val="20"/>
          <w:highlight w:val="white"/>
        </w:rPr>
        <w:t>______________________________________________________________________________________________________</w:t>
      </w:r>
    </w:p>
    <w:p>
      <w:pPr>
        <w:pStyle w:val="Normal"/>
        <w:jc w:val="both"/>
        <w:rPr>
          <w:highlight w:val="white"/>
        </w:rPr>
      </w:pPr>
      <w:r>
        <w:rPr>
          <w:sz w:val="20"/>
          <w:szCs w:val="20"/>
          <w:highlight w:val="white"/>
        </w:rPr>
        <w:t xml:space="preserve"> </w:t>
      </w:r>
      <w:r>
        <w:rPr>
          <w:sz w:val="20"/>
          <w:szCs w:val="20"/>
          <w:highlight w:val="white"/>
        </w:rPr>
        <w:t xml:space="preserve">«Клиент», члены его семьи и доверенные лица имеют равные права в пользовании сигнализацией, установленной на «Объекте». Лица, чье место жительства зарегистрировано по адресу, указанному в п. 1.1. Договора, либо имеющие зарегистрированные в установленном порядке права владения, пользования или распоряжения «Объектом» (частью, долей «Объекта), являются доверенными лицами в обязательном порядке.   </w:t>
      </w:r>
    </w:p>
    <w:p>
      <w:pPr>
        <w:pStyle w:val="Normal"/>
        <w:spacing w:before="100" w:after="0"/>
        <w:jc w:val="both"/>
        <w:rPr>
          <w:highlight w:val="white"/>
        </w:rPr>
      </w:pPr>
      <w:r>
        <w:rPr>
          <w:b/>
          <w:sz w:val="20"/>
          <w:szCs w:val="20"/>
          <w:highlight w:val="white"/>
        </w:rPr>
        <w:t>ПРИЛОЖЕНИЕ ПОДПИСАЛИ</w:t>
      </w:r>
    </w:p>
    <w:p>
      <w:pPr>
        <w:pStyle w:val="Normal"/>
        <w:rPr>
          <w:rFonts w:ascii="Times New Roman" w:hAnsi="Times New Roman"/>
          <w:b/>
          <w:sz w:val="20"/>
          <w:szCs w:val="20"/>
          <w:highlight w:val="white"/>
        </w:rPr>
      </w:pPr>
      <w:r>
        <w:rPr>
          <w:b/>
          <w:sz w:val="20"/>
          <w:szCs w:val="20"/>
          <w:highlight w:val="white"/>
        </w:rPr>
      </w:r>
    </w:p>
    <w:p>
      <w:pPr>
        <w:pStyle w:val="Normal"/>
        <w:rPr>
          <w:highlight w:val="white"/>
        </w:rPr>
      </w:pPr>
      <w:r>
        <w:rPr>
          <w:b/>
          <w:sz w:val="20"/>
          <w:szCs w:val="20"/>
          <w:highlight w:val="white"/>
        </w:rPr>
        <w:t>ОХРАНА                                                                                                      ____________________/_________________/</w:t>
      </w:r>
    </w:p>
    <w:p>
      <w:pPr>
        <w:pStyle w:val="Normal"/>
        <w:rPr>
          <w:highlight w:val="white"/>
        </w:rPr>
      </w:pPr>
      <w:r>
        <w:rPr>
          <w:sz w:val="20"/>
          <w:szCs w:val="20"/>
          <w:highlight w:val="white"/>
        </w:rPr>
        <w:t xml:space="preserve">                                                                                                                                                                                                                             </w:t>
      </w:r>
      <w:r>
        <w:rPr>
          <w:sz w:val="20"/>
          <w:szCs w:val="20"/>
          <w:highlight w:val="white"/>
        </w:rPr>
        <w:t>м.п.</w:t>
      </w:r>
    </w:p>
    <w:p>
      <w:pPr>
        <w:pStyle w:val="Normal"/>
        <w:rPr>
          <w:highlight w:val="white"/>
        </w:rPr>
      </w:pPr>
      <w:r>
        <w:rPr>
          <w:b/>
          <w:sz w:val="20"/>
          <w:szCs w:val="20"/>
          <w:highlight w:val="white"/>
        </w:rPr>
        <w:t>КЛИЕНТ                                                                                                         ___________________/__________________/</w:t>
      </w:r>
    </w:p>
    <w:p>
      <w:pPr>
        <w:pStyle w:val="Normal"/>
        <w:tabs>
          <w:tab w:val="clear" w:pos="720"/>
          <w:tab w:val="left" w:pos="284" w:leader="none"/>
        </w:tabs>
        <w:ind w:hanging="0" w:right="-284"/>
        <w:jc w:val="center"/>
        <w:rPr>
          <w:rFonts w:ascii="Times New Roman" w:hAnsi="Times New Roman"/>
          <w:sz w:val="20"/>
          <w:szCs w:val="20"/>
          <w:highlight w:val="white"/>
        </w:rPr>
      </w:pPr>
      <w:r>
        <w:rPr>
          <w:sz w:val="20"/>
          <w:szCs w:val="20"/>
          <w:highlight w:val="white"/>
        </w:rPr>
      </w:r>
    </w:p>
    <w:p>
      <w:pPr>
        <w:pStyle w:val="Normal"/>
        <w:tabs>
          <w:tab w:val="clear" w:pos="720"/>
          <w:tab w:val="left" w:pos="284" w:leader="none"/>
        </w:tabs>
        <w:ind w:hanging="0" w:right="-284"/>
        <w:jc w:val="center"/>
        <w:rPr>
          <w:b/>
        </w:rPr>
      </w:pPr>
      <w:r>
        <w:rPr>
          <w:b/>
        </w:rPr>
      </w:r>
    </w:p>
    <w:p>
      <w:pPr>
        <w:pStyle w:val="Normal"/>
        <w:tabs>
          <w:tab w:val="clear" w:pos="720"/>
          <w:tab w:val="left" w:pos="284" w:leader="none"/>
        </w:tabs>
        <w:ind w:hanging="0" w:right="-284"/>
        <w:jc w:val="center"/>
        <w:rPr>
          <w:b/>
        </w:rPr>
      </w:pPr>
      <w:r>
        <w:rPr>
          <w:b/>
        </w:rPr>
      </w:r>
    </w:p>
    <w:p>
      <w:pPr>
        <w:pStyle w:val="Normal"/>
        <w:tabs>
          <w:tab w:val="clear" w:pos="720"/>
          <w:tab w:val="left" w:pos="284" w:leader="none"/>
        </w:tabs>
        <w:ind w:hanging="0" w:right="-284"/>
        <w:jc w:val="center"/>
        <w:rPr>
          <w:b/>
        </w:rPr>
      </w:pPr>
      <w:r>
        <w:rPr>
          <w:b/>
        </w:rPr>
        <w:t>И Н С Т Р У К Ц И Я</w:t>
      </w:r>
    </w:p>
    <w:p>
      <w:pPr>
        <w:pStyle w:val="Normal"/>
        <w:tabs>
          <w:tab w:val="clear" w:pos="720"/>
          <w:tab w:val="left" w:pos="284" w:leader="none"/>
        </w:tabs>
        <w:ind w:hanging="0" w:right="-284"/>
        <w:jc w:val="center"/>
        <w:rPr>
          <w:b/>
        </w:rPr>
      </w:pPr>
      <w:r>
        <w:rPr>
          <w:b/>
        </w:rPr>
        <w:t>О ПОРЯДКЕ ПОЛЬЗОВАНИЯ СРЕДСТВАМИ ОХРАННО-ПОЖАРНОЙ СИГНАЛИЗАЦИИ</w:t>
      </w:r>
    </w:p>
    <w:p>
      <w:pPr>
        <w:pStyle w:val="Normal"/>
        <w:jc w:val="center"/>
        <w:rPr>
          <w:b/>
        </w:rPr>
      </w:pPr>
      <w:r>
        <w:rPr>
          <w:b/>
        </w:rPr>
        <w:t>(Приложение № 2 к договору  ____</w:t>
      </w:r>
      <w:r>
        <w:rPr>
          <w:b/>
          <w:highlight w:val="white"/>
        </w:rPr>
        <w:t>/Г/К- GSM,</w:t>
      </w:r>
      <w:r>
        <w:rPr>
          <w:b/>
          <w:sz w:val="20"/>
          <w:szCs w:val="20"/>
          <w:highlight w:val="white"/>
        </w:rPr>
        <w:t xml:space="preserve"> на возмездное оказание услуг по охране имущества граждан путём оперативного реагирования на тревожные сообщения о срабатывании средств охранно - пожарной сигнализации установленных в МПХИГ )</w:t>
      </w:r>
    </w:p>
    <w:p>
      <w:pPr>
        <w:pStyle w:val="Normal"/>
        <w:jc w:val="center"/>
        <w:rPr>
          <w:b/>
        </w:rPr>
      </w:pPr>
      <w:r>
        <w:rPr>
          <w:b/>
        </w:rPr>
      </w:r>
    </w:p>
    <w:p>
      <w:pPr>
        <w:pStyle w:val="Normal"/>
        <w:jc w:val="center"/>
        <w:rPr>
          <w:b/>
        </w:rPr>
      </w:pPr>
      <w:r>
        <w:rPr>
          <w:b/>
        </w:rPr>
      </w:r>
    </w:p>
    <w:p>
      <w:pPr>
        <w:pStyle w:val="Normal"/>
        <w:tabs>
          <w:tab w:val="clear" w:pos="720"/>
          <w:tab w:val="left" w:pos="284" w:leader="none"/>
        </w:tabs>
        <w:jc w:val="both"/>
        <w:rPr/>
      </w:pPr>
      <w:r>
        <w:rPr/>
        <w:tab/>
        <w:t>Исполнение пунктов данной инструкции является обязательным для всех ответственных лиц осуществляющих постановку и снятие «Объекта» с охраны.</w:t>
      </w:r>
    </w:p>
    <w:p>
      <w:pPr>
        <w:pStyle w:val="Normal"/>
        <w:tabs>
          <w:tab w:val="clear" w:pos="720"/>
          <w:tab w:val="left" w:pos="284" w:leader="none"/>
        </w:tabs>
        <w:jc w:val="both"/>
        <w:rPr/>
      </w:pPr>
      <w:r>
        <w:rPr/>
        <w:tab/>
        <w:t xml:space="preserve">Нарушение пунктов данной инструкции влечет за собой снятие с отдела вневедомственной охраны ответственности за сохранность материальных ценностей находящихся на охраняемом «Объекте». </w:t>
      </w:r>
    </w:p>
    <w:p>
      <w:pPr>
        <w:pStyle w:val="Normal"/>
        <w:numPr>
          <w:ilvl w:val="0"/>
          <w:numId w:val="41"/>
        </w:numPr>
        <w:tabs>
          <w:tab w:val="clear" w:pos="720"/>
          <w:tab w:val="left" w:pos="0" w:leader="none"/>
          <w:tab w:val="left" w:pos="284" w:leader="none"/>
        </w:tabs>
        <w:ind w:hanging="0" w:left="0"/>
        <w:jc w:val="both"/>
        <w:rPr/>
      </w:pPr>
      <w:r>
        <w:rPr/>
        <w:t>Каждое материально ответственное лицо (доверенное лицо, либо лицо совместно проживающее, далее по тексту «Клиент») имеющее право на постановку и снятие «Объекта» под охрану несет персональную ответственность за разглашение информации о принципах работы системы сигнализации, порядком постановки и снятия ее с охраны, секретных паролей, для осуществления сдачи и постановки «Объекта» под охрану.</w:t>
      </w:r>
    </w:p>
    <w:p>
      <w:pPr>
        <w:pStyle w:val="Normal"/>
        <w:numPr>
          <w:ilvl w:val="0"/>
          <w:numId w:val="42"/>
        </w:numPr>
        <w:tabs>
          <w:tab w:val="clear" w:pos="720"/>
          <w:tab w:val="left" w:pos="0" w:leader="none"/>
          <w:tab w:val="left" w:pos="284" w:leader="none"/>
        </w:tabs>
        <w:ind w:hanging="0" w:left="0"/>
        <w:jc w:val="both"/>
        <w:rPr/>
      </w:pPr>
      <w:r>
        <w:rPr/>
        <w:t xml:space="preserve">Ключ </w:t>
      </w:r>
      <w:r>
        <w:rPr>
          <w:lang w:val="en-US"/>
        </w:rPr>
        <w:t>Touch</w:t>
      </w:r>
      <w:r>
        <w:rPr/>
        <w:t xml:space="preserve"> </w:t>
      </w:r>
      <w:r>
        <w:rPr>
          <w:lang w:val="en-US"/>
        </w:rPr>
        <w:t>Memory</w:t>
      </w:r>
      <w:r>
        <w:rPr/>
        <w:t>, которым осуществляется постановка и снятие «Объекта» под охрану (автоматические системы передачи извещений «Ахтуба», «Струна», «Юпитер»), являются именным и лицо, передавшее его кому-либо, несет ответственность согласно п.1 настоящей инструкции.</w:t>
      </w:r>
    </w:p>
    <w:p>
      <w:pPr>
        <w:pStyle w:val="Normal"/>
        <w:numPr>
          <w:ilvl w:val="0"/>
          <w:numId w:val="43"/>
        </w:numPr>
        <w:tabs>
          <w:tab w:val="clear" w:pos="720"/>
          <w:tab w:val="left" w:pos="0" w:leader="none"/>
          <w:tab w:val="left" w:pos="284" w:leader="none"/>
        </w:tabs>
        <w:ind w:hanging="0" w:left="0"/>
        <w:jc w:val="both"/>
        <w:rPr/>
      </w:pPr>
      <w:r>
        <w:rPr/>
        <w:t xml:space="preserve">Запрещается оставлять ключи </w:t>
      </w:r>
      <w:r>
        <w:rPr>
          <w:lang w:val="en-US"/>
        </w:rPr>
        <w:t>Touch</w:t>
      </w:r>
      <w:r>
        <w:rPr/>
        <w:t xml:space="preserve"> </w:t>
      </w:r>
      <w:r>
        <w:rPr>
          <w:lang w:val="en-US"/>
        </w:rPr>
        <w:t>Memory</w:t>
      </w:r>
      <w:r>
        <w:rPr/>
        <w:t xml:space="preserve"> в легкодоступных местах, где к ним возможен доступ третьих лиц, даже на непродолжительное время.</w:t>
      </w:r>
    </w:p>
    <w:p>
      <w:pPr>
        <w:pStyle w:val="Normal"/>
        <w:numPr>
          <w:ilvl w:val="0"/>
          <w:numId w:val="44"/>
        </w:numPr>
        <w:tabs>
          <w:tab w:val="clear" w:pos="720"/>
          <w:tab w:val="left" w:pos="0" w:leader="none"/>
          <w:tab w:val="left" w:pos="284" w:leader="none"/>
        </w:tabs>
        <w:ind w:hanging="0" w:left="0"/>
        <w:jc w:val="both"/>
        <w:rPr/>
      </w:pPr>
      <w:r>
        <w:rPr/>
        <w:t>В случае утери ключа «Клиент» обязан незамедлительно поставить в известность дежурного пульта централизованной охраны и руководство отдела вневедомственной охраны.</w:t>
      </w:r>
    </w:p>
    <w:p>
      <w:pPr>
        <w:pStyle w:val="Normal"/>
        <w:numPr>
          <w:ilvl w:val="0"/>
          <w:numId w:val="45"/>
        </w:numPr>
        <w:tabs>
          <w:tab w:val="clear" w:pos="720"/>
          <w:tab w:val="left" w:pos="0" w:leader="none"/>
          <w:tab w:val="left" w:pos="284" w:leader="none"/>
        </w:tabs>
        <w:ind w:hanging="0" w:left="0"/>
        <w:jc w:val="both"/>
        <w:rPr/>
      </w:pPr>
      <w:r>
        <w:rPr/>
        <w:t>Перед постановкой «Объекта» под охрану «Клиент» должен:</w:t>
      </w:r>
    </w:p>
    <w:p>
      <w:pPr>
        <w:pStyle w:val="ListParagraph"/>
        <w:numPr>
          <w:ilvl w:val="0"/>
          <w:numId w:val="46"/>
        </w:numPr>
        <w:tabs>
          <w:tab w:val="clear" w:pos="720"/>
          <w:tab w:val="left" w:pos="567" w:leader="none"/>
        </w:tabs>
        <w:ind w:hanging="0" w:left="284"/>
        <w:jc w:val="both"/>
        <w:rPr/>
      </w:pPr>
      <w:r>
        <w:rPr/>
        <w:t>убрать в сейфы, либо в специальные хранилища малогабаритные материальные ценности (деньги, ювелирные украшения, ценные бумаги, документы, при утрате которых собственник может понести материальный ущерб, малогабаритные дорогостоящие электронные приборы, и т.п.);</w:t>
      </w:r>
    </w:p>
    <w:p>
      <w:pPr>
        <w:pStyle w:val="Normal"/>
        <w:numPr>
          <w:ilvl w:val="0"/>
          <w:numId w:val="47"/>
        </w:numPr>
        <w:tabs>
          <w:tab w:val="clear" w:pos="720"/>
          <w:tab w:val="left" w:pos="567" w:leader="none"/>
        </w:tabs>
        <w:spacing w:before="0" w:after="0"/>
        <w:ind w:hanging="0" w:left="284"/>
        <w:contextualSpacing/>
        <w:jc w:val="both"/>
        <w:rPr/>
      </w:pPr>
      <w:r>
        <w:rPr/>
        <w:t>проверить все помещения, закрыть все окна и форточки на запоры, исключающие их самопроизвольное открывание, проверить, закрыты ли двери запасных выходов на шпингалеты и запорные устройства, в случае наличия на «Объекте» выходов на крышу и в подвал и непосредственно граничащих с охраняемыми помещениями закрыть их на запорные устройства, закрыть на запоры и замки внутренние решетки на окнах (при их наличии на «Объекте»), а также решетки и двери внутренних помещений;</w:t>
      </w:r>
    </w:p>
    <w:p>
      <w:pPr>
        <w:pStyle w:val="Normal"/>
        <w:numPr>
          <w:ilvl w:val="0"/>
          <w:numId w:val="48"/>
        </w:numPr>
        <w:tabs>
          <w:tab w:val="clear" w:pos="720"/>
          <w:tab w:val="left" w:pos="567" w:leader="none"/>
        </w:tabs>
        <w:spacing w:before="0" w:afterAutospacing="1"/>
        <w:ind w:hanging="0" w:left="284"/>
        <w:contextualSpacing/>
        <w:jc w:val="both"/>
        <w:rPr/>
      </w:pPr>
      <w:r>
        <w:rPr/>
        <w:t>убедиться в отсутствии на «Объекте» людей и животных, включенных электроприборов и источников огня.</w:t>
      </w:r>
    </w:p>
    <w:p>
      <w:pPr>
        <w:pStyle w:val="Normal"/>
        <w:numPr>
          <w:ilvl w:val="0"/>
          <w:numId w:val="49"/>
        </w:numPr>
        <w:tabs>
          <w:tab w:val="clear" w:pos="720"/>
          <w:tab w:val="left" w:pos="0" w:leader="none"/>
          <w:tab w:val="left" w:pos="284" w:leader="none"/>
        </w:tabs>
        <w:ind w:hanging="0" w:left="0"/>
        <w:jc w:val="both"/>
        <w:rPr/>
      </w:pPr>
      <w:r>
        <w:rPr/>
        <w:t>Перед выходом необходимо включить все приёмно-контрольные приборы, убедиться в  том, что источники бесперебойного питания находятся в рабочем состоянии по средствам контроля индикации светодиодов на приборах (в каждом конкретном случае правила контроля оговариваются индивидуально в зависимости от типа применяемой аппаратуры, согласно памяток пользования охранной сигнализацией).</w:t>
      </w:r>
    </w:p>
    <w:p>
      <w:pPr>
        <w:pStyle w:val="Normal"/>
        <w:numPr>
          <w:ilvl w:val="0"/>
          <w:numId w:val="50"/>
        </w:numPr>
        <w:tabs>
          <w:tab w:val="clear" w:pos="720"/>
          <w:tab w:val="left" w:pos="0" w:leader="none"/>
          <w:tab w:val="left" w:pos="284" w:leader="none"/>
        </w:tabs>
        <w:ind w:hanging="0" w:left="0"/>
        <w:jc w:val="both"/>
        <w:rPr/>
      </w:pPr>
      <w:r>
        <w:rPr/>
        <w:t>Запрещается постановка «Объекта» под охрану на пульт централизованной охраны при отсутствии на «Объекте» электроэнергии, на аварийно-автономном питании системы сигнализации.</w:t>
      </w:r>
    </w:p>
    <w:p>
      <w:pPr>
        <w:pStyle w:val="Normal"/>
        <w:numPr>
          <w:ilvl w:val="0"/>
          <w:numId w:val="51"/>
        </w:numPr>
        <w:tabs>
          <w:tab w:val="clear" w:pos="720"/>
          <w:tab w:val="left" w:pos="0" w:leader="none"/>
          <w:tab w:val="left" w:pos="284" w:leader="none"/>
        </w:tabs>
        <w:ind w:hanging="0" w:left="0"/>
        <w:jc w:val="both"/>
        <w:rPr/>
      </w:pPr>
      <w:r>
        <w:rPr/>
        <w:t>Категорически запрещается вносить какие либо конструктивные изменения в систему сигнализации.</w:t>
      </w:r>
    </w:p>
    <w:p>
      <w:pPr>
        <w:pStyle w:val="Normal"/>
        <w:numPr>
          <w:ilvl w:val="0"/>
          <w:numId w:val="52"/>
        </w:numPr>
        <w:tabs>
          <w:tab w:val="clear" w:pos="720"/>
          <w:tab w:val="left" w:pos="0" w:leader="none"/>
          <w:tab w:val="left" w:pos="284" w:leader="none"/>
        </w:tabs>
        <w:ind w:hanging="0" w:left="0"/>
        <w:jc w:val="both"/>
        <w:rPr/>
      </w:pPr>
      <w:r>
        <w:rPr/>
        <w:t>При обнаружении на «Объекте» каких либо неисправностей технических средств охраны либо фактов постороннего вмешательства в систему сигнализации (открытая, либо со следами постороннего вмешательства панель контрольного прибора, скрученных проводов ведущих к датчикам и приборам системы сигнализации, появление дополнительных приборов подключенных к имеющейся системе сигнализации и т.п.) незамедлительно сообщить о данном факте дежурному пульта централизованной охраны ОВО. Категорически запрещается постановка под охрану «Объекта» в случаи выявления вышеуказанных обстоятельств, следует незамедлительно вызывать на «Объект» электромонтера  для проведения им обследования сигнализации на предмет ее работоспособности, провести контрольное срабатывание сигнализации. Все вышеуказанные мероприятия при обнаружении постороннего вмешательства в систему сигнализации по ее обследованию следует проводить в присутствии специалиста инженерно-технической службы отдела вневедомственной охраны.</w:t>
      </w:r>
    </w:p>
    <w:p>
      <w:pPr>
        <w:pStyle w:val="Normal"/>
        <w:numPr>
          <w:ilvl w:val="0"/>
          <w:numId w:val="53"/>
        </w:numPr>
        <w:tabs>
          <w:tab w:val="clear" w:pos="720"/>
          <w:tab w:val="left" w:pos="0" w:leader="none"/>
        </w:tabs>
        <w:ind w:hanging="0" w:left="0"/>
        <w:jc w:val="both"/>
        <w:rPr/>
      </w:pPr>
      <w:r>
        <w:rPr/>
        <w:t xml:space="preserve">Постановка и снятие «Объекта» под охрану производится в следующем порядке: установить ключ </w:t>
      </w:r>
      <w:r>
        <w:rPr>
          <w:lang w:val="en-US"/>
        </w:rPr>
        <w:t>Touch</w:t>
      </w:r>
      <w:r>
        <w:rPr/>
        <w:t xml:space="preserve"> </w:t>
      </w:r>
      <w:r>
        <w:rPr>
          <w:lang w:val="en-US"/>
        </w:rPr>
        <w:t>Memory</w:t>
      </w:r>
      <w:r>
        <w:rPr/>
        <w:t xml:space="preserve"> для систем передачи извещений для АСПИ ”Ахтуба”, «Струна -5 GSM», ”Ахтуба GSM ” УОО-4G и РСПИ ”Струна-5”в гнездо считывателя; «Объект» взят под охрану после включения пульсирующего светового сигнала (светодиод горит красным цветом); «Объект» снят с охраны после выключения светодиода (у одношлейфного блока «Ахтуба»), кратковременное включение светового индикатора (зеленый цвет светодиода).</w:t>
      </w:r>
    </w:p>
    <w:p>
      <w:pPr>
        <w:pStyle w:val="Normal"/>
        <w:ind w:hanging="0" w:left="200"/>
        <w:rPr/>
      </w:pPr>
      <w:r>
        <w:rPr/>
      </w:r>
    </w:p>
    <w:p>
      <w:pPr>
        <w:pStyle w:val="Normal"/>
        <w:ind w:hanging="0" w:left="200"/>
        <w:rPr>
          <w:b/>
        </w:rPr>
      </w:pPr>
      <w:r>
        <w:rPr/>
        <w:t>С правилами пользования ознакомлены:                                      ______________________________________</w:t>
      </w:r>
      <w:r>
        <w:rPr>
          <w:b/>
        </w:rPr>
        <w:t>Клиент</w:t>
      </w:r>
    </w:p>
    <w:p>
      <w:pPr>
        <w:pStyle w:val="Normal"/>
        <w:ind w:hanging="0" w:left="200"/>
        <w:rPr>
          <w:b/>
        </w:rPr>
      </w:pPr>
      <w:r>
        <w:rPr>
          <w:b/>
        </w:rPr>
      </w:r>
    </w:p>
    <w:p>
      <w:pPr>
        <w:pStyle w:val="Normal"/>
        <w:ind w:hanging="0" w:left="200"/>
        <w:rPr>
          <w:b/>
        </w:rPr>
      </w:pPr>
      <w:r>
        <w:rPr>
          <w:b/>
        </w:rPr>
      </w:r>
    </w:p>
    <w:p>
      <w:pPr>
        <w:pStyle w:val="11"/>
        <w:ind w:firstLine="708" w:left="1416" w:right="-284"/>
        <w:jc w:val="right"/>
        <w:rPr>
          <w:b/>
        </w:rPr>
      </w:pPr>
      <w:r>
        <w:rPr>
          <w:b/>
        </w:rPr>
      </w:r>
    </w:p>
    <w:p>
      <w:pPr>
        <w:pStyle w:val="11"/>
        <w:ind w:hanging="0" w:left="1416" w:right="-284"/>
        <w:jc w:val="right"/>
        <w:rPr>
          <w:b/>
          <w:highlight w:val="white"/>
        </w:rPr>
      </w:pPr>
      <w:r>
        <w:rPr>
          <w:b/>
          <w:highlight w:val="white"/>
        </w:rPr>
      </w:r>
    </w:p>
    <w:sectPr>
      <w:type w:val="nextPage"/>
      <w:pgSz w:w="11906" w:h="16838"/>
      <w:pgMar w:left="851" w:right="851" w:gutter="0" w:header="0" w:top="851" w:footer="0" w:bottom="623"/>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mbria">
    <w:charset w:val="01"/>
    <w:family w:val="roman"/>
    <w:pitch w:val="default"/>
  </w:font>
  <w:font w:name="Tahoma">
    <w:charset w:val="01"/>
    <w:family w:val="roman"/>
    <w:pitch w:val="default"/>
  </w:font>
  <w:font w:name="Courier New">
    <w:charset w:val="01"/>
    <w:family w:val="roman"/>
    <w:pitch w:val="default"/>
  </w:font>
  <w:font w:name="PT Sans">
    <w:charset w:val="01"/>
    <w:family w:val="roman"/>
    <w:pitch w:val="default"/>
  </w:font>
  <w:font w:name="Arial">
    <w:charset w:val="01"/>
    <w:family w:val="swiss"/>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4"/>
      <w:numFmt w:val="decimal"/>
      <w:lvlText w:val="%1"/>
      <w:lvlJc w:val="left"/>
      <w:pPr>
        <w:tabs>
          <w:tab w:val="num" w:pos="0"/>
        </w:tabs>
        <w:ind w:left="360" w:hanging="360"/>
      </w:pPr>
      <w:rPr>
        <w:rFonts w:cs="Times New Roman"/>
      </w:rPr>
    </w:lvl>
    <w:lvl w:ilvl="1">
      <w:start w:val="5"/>
      <w:numFmt w:val="decimal"/>
      <w:lvlText w:val="%1.%2"/>
      <w:lvlJc w:val="left"/>
      <w:pPr>
        <w:tabs>
          <w:tab w:val="num" w:pos="0"/>
        </w:tabs>
        <w:ind w:left="1070" w:hanging="360"/>
      </w:pPr>
      <w:rPr>
        <w:sz w:val="20"/>
        <w:szCs w:val="20"/>
        <w:rFonts w:cs="Times New Roman"/>
      </w:rPr>
    </w:lvl>
    <w:lvl w:ilvl="2">
      <w:start w:val="1"/>
      <w:numFmt w:val="decimal"/>
      <w:lvlText w:val="%1.%2.%3"/>
      <w:lvlJc w:val="left"/>
      <w:pPr>
        <w:tabs>
          <w:tab w:val="num" w:pos="0"/>
        </w:tabs>
        <w:ind w:left="2140" w:hanging="720"/>
      </w:pPr>
      <w:rPr>
        <w:rFonts w:cs="Times New Roman"/>
      </w:rPr>
    </w:lvl>
    <w:lvl w:ilvl="3">
      <w:start w:val="1"/>
      <w:numFmt w:val="decimal"/>
      <w:lvlText w:val="%1.%2.%3.%4"/>
      <w:lvlJc w:val="left"/>
      <w:pPr>
        <w:tabs>
          <w:tab w:val="num" w:pos="0"/>
        </w:tabs>
        <w:ind w:left="2850" w:hanging="720"/>
      </w:pPr>
      <w:rPr>
        <w:rFonts w:cs="Times New Roman"/>
      </w:rPr>
    </w:lvl>
    <w:lvl w:ilvl="4">
      <w:start w:val="1"/>
      <w:numFmt w:val="decimal"/>
      <w:lvlText w:val="%1.%2.%3.%4.%5"/>
      <w:lvlJc w:val="left"/>
      <w:pPr>
        <w:tabs>
          <w:tab w:val="num" w:pos="0"/>
        </w:tabs>
        <w:ind w:left="3560" w:hanging="720"/>
      </w:pPr>
      <w:rPr>
        <w:rFonts w:cs="Times New Roman"/>
      </w:rPr>
    </w:lvl>
    <w:lvl w:ilvl="5">
      <w:start w:val="1"/>
      <w:numFmt w:val="decimal"/>
      <w:lvlText w:val="%1.%2.%3.%4.%5.%6"/>
      <w:lvlJc w:val="left"/>
      <w:pPr>
        <w:tabs>
          <w:tab w:val="num" w:pos="0"/>
        </w:tabs>
        <w:ind w:left="4630" w:hanging="1080"/>
      </w:pPr>
      <w:rPr>
        <w:rFonts w:cs="Times New Roman"/>
      </w:rPr>
    </w:lvl>
    <w:lvl w:ilvl="6">
      <w:start w:val="1"/>
      <w:numFmt w:val="decimal"/>
      <w:lvlText w:val="%1.%2.%3.%4.%5.%6.%7"/>
      <w:lvlJc w:val="left"/>
      <w:pPr>
        <w:tabs>
          <w:tab w:val="num" w:pos="0"/>
        </w:tabs>
        <w:ind w:left="5340" w:hanging="1080"/>
      </w:pPr>
      <w:rPr>
        <w:rFonts w:cs="Times New Roman"/>
      </w:rPr>
    </w:lvl>
    <w:lvl w:ilvl="7">
      <w:start w:val="1"/>
      <w:numFmt w:val="decimal"/>
      <w:lvlText w:val="%1.%2.%3.%4.%5.%6.%7.%8"/>
      <w:lvlJc w:val="left"/>
      <w:pPr>
        <w:tabs>
          <w:tab w:val="num" w:pos="0"/>
        </w:tabs>
        <w:ind w:left="6410" w:hanging="1440"/>
      </w:pPr>
      <w:rPr>
        <w:rFonts w:cs="Times New Roman"/>
      </w:rPr>
    </w:lvl>
    <w:lvl w:ilvl="8">
      <w:start w:val="1"/>
      <w:numFmt w:val="decimal"/>
      <w:lvlText w:val="%1.%2.%3.%4.%5.%6.%7.%8.%9"/>
      <w:lvlJc w:val="left"/>
      <w:pPr>
        <w:tabs>
          <w:tab w:val="num" w:pos="0"/>
        </w:tabs>
        <w:ind w:left="7120" w:hanging="1440"/>
      </w:pPr>
      <w:rPr>
        <w:rFonts w:cs="Times New Roman"/>
      </w:rPr>
    </w:lvl>
  </w:abstractNum>
  <w:abstractNum w:abstractNumId="2">
    <w:lvl w:ilvl="0">
      <w:start w:val="6"/>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1211" w:hanging="360"/>
      </w:pPr>
      <w:rPr>
        <w:rFonts w:cs="Times New Roman"/>
      </w:rPr>
    </w:lvl>
    <w:lvl w:ilvl="2">
      <w:start w:val="1"/>
      <w:numFmt w:val="decimal"/>
      <w:lvlText w:val="%1.%2.%3"/>
      <w:lvlJc w:val="left"/>
      <w:pPr>
        <w:tabs>
          <w:tab w:val="num" w:pos="0"/>
        </w:tabs>
        <w:ind w:left="2422" w:hanging="720"/>
      </w:pPr>
      <w:rPr>
        <w:rFonts w:cs="Times New Roman"/>
      </w:rPr>
    </w:lvl>
    <w:lvl w:ilvl="3">
      <w:start w:val="1"/>
      <w:numFmt w:val="decimal"/>
      <w:lvlText w:val="%1.%2.%3.%4"/>
      <w:lvlJc w:val="left"/>
      <w:pPr>
        <w:tabs>
          <w:tab w:val="num" w:pos="0"/>
        </w:tabs>
        <w:ind w:left="3273" w:hanging="720"/>
      </w:pPr>
      <w:rPr>
        <w:rFonts w:cs="Times New Roman"/>
      </w:rPr>
    </w:lvl>
    <w:lvl w:ilvl="4">
      <w:start w:val="1"/>
      <w:numFmt w:val="decimal"/>
      <w:lvlText w:val="%1.%2.%3.%4.%5"/>
      <w:lvlJc w:val="left"/>
      <w:pPr>
        <w:tabs>
          <w:tab w:val="num" w:pos="0"/>
        </w:tabs>
        <w:ind w:left="4124" w:hanging="720"/>
      </w:pPr>
      <w:rPr>
        <w:rFonts w:cs="Times New Roman"/>
      </w:rPr>
    </w:lvl>
    <w:lvl w:ilvl="5">
      <w:start w:val="1"/>
      <w:numFmt w:val="decimal"/>
      <w:lvlText w:val="%1.%2.%3.%4.%5.%6"/>
      <w:lvlJc w:val="left"/>
      <w:pPr>
        <w:tabs>
          <w:tab w:val="num" w:pos="0"/>
        </w:tabs>
        <w:ind w:left="5335" w:hanging="1080"/>
      </w:pPr>
      <w:rPr>
        <w:rFonts w:cs="Times New Roman"/>
      </w:rPr>
    </w:lvl>
    <w:lvl w:ilvl="6">
      <w:start w:val="1"/>
      <w:numFmt w:val="decimal"/>
      <w:lvlText w:val="%1.%2.%3.%4.%5.%6.%7"/>
      <w:lvlJc w:val="left"/>
      <w:pPr>
        <w:tabs>
          <w:tab w:val="num" w:pos="0"/>
        </w:tabs>
        <w:ind w:left="6186" w:hanging="1080"/>
      </w:pPr>
      <w:rPr>
        <w:rFonts w:cs="Times New Roman"/>
      </w:rPr>
    </w:lvl>
    <w:lvl w:ilvl="7">
      <w:start w:val="1"/>
      <w:numFmt w:val="decimal"/>
      <w:lvlText w:val="%1.%2.%3.%4.%5.%6.%7.%8"/>
      <w:lvlJc w:val="left"/>
      <w:pPr>
        <w:tabs>
          <w:tab w:val="num" w:pos="0"/>
        </w:tabs>
        <w:ind w:left="7397" w:hanging="1440"/>
      </w:pPr>
      <w:rPr>
        <w:rFonts w:cs="Times New Roman"/>
      </w:rPr>
    </w:lvl>
    <w:lvl w:ilvl="8">
      <w:start w:val="1"/>
      <w:numFmt w:val="decimal"/>
      <w:lvlText w:val="%1.%2.%3.%4.%5.%6.%7.%8.%9"/>
      <w:lvlJc w:val="left"/>
      <w:pPr>
        <w:tabs>
          <w:tab w:val="num" w:pos="0"/>
        </w:tabs>
        <w:ind w:left="8248" w:hanging="1440"/>
      </w:pPr>
      <w:rPr>
        <w:rFonts w:cs="Times New Roman"/>
      </w:rPr>
    </w:lvl>
  </w:abstractNum>
  <w:abstractNum w:abstractNumId="3">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4">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5">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6">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7">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8">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9">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0">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1">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2">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3">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4">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1080" w:hanging="360"/>
      </w:pPr>
      <w:rPr>
        <w:rFonts w:cs="Times New Roman"/>
      </w:rPr>
    </w:lvl>
    <w:lvl w:ilvl="2">
      <w:start w:val="1"/>
      <w:numFmt w:val="decimal"/>
      <w:lvlText w:val="%1.%2.%3."/>
      <w:lvlJc w:val="left"/>
      <w:pPr>
        <w:tabs>
          <w:tab w:val="num" w:pos="1800"/>
        </w:tabs>
        <w:ind w:left="1800" w:hanging="360"/>
      </w:pPr>
      <w:rPr>
        <w:rFonts w:cs="Times New Roman"/>
      </w:rPr>
    </w:lvl>
    <w:lvl w:ilvl="3">
      <w:start w:val="1"/>
      <w:numFmt w:val="decimal"/>
      <w:lvlText w:val="%1.%2.%3.%4."/>
      <w:lvlJc w:val="left"/>
      <w:pPr>
        <w:tabs>
          <w:tab w:val="num" w:pos="2880"/>
        </w:tabs>
        <w:ind w:left="2880" w:hanging="720"/>
      </w:pPr>
      <w:rPr>
        <w:rFonts w:cs="Times New Roman"/>
      </w:rPr>
    </w:lvl>
    <w:lvl w:ilvl="4">
      <w:start w:val="1"/>
      <w:numFmt w:val="decimal"/>
      <w:lvlText w:val="%1.%2.%3.%4.%5."/>
      <w:lvlJc w:val="left"/>
      <w:pPr>
        <w:tabs>
          <w:tab w:val="num" w:pos="3600"/>
        </w:tabs>
        <w:ind w:left="3600" w:hanging="720"/>
      </w:pPr>
      <w:rPr>
        <w:rFonts w:cs="Times New Roman"/>
      </w:rPr>
    </w:lvl>
    <w:lvl w:ilvl="5">
      <w:start w:val="1"/>
      <w:numFmt w:val="decimal"/>
      <w:lvlText w:val="%1.%2.%3.%4.%5.%6."/>
      <w:lvlJc w:val="left"/>
      <w:pPr>
        <w:tabs>
          <w:tab w:val="num" w:pos="4320"/>
        </w:tabs>
        <w:ind w:left="4320" w:hanging="720"/>
      </w:pPr>
      <w:rPr>
        <w:rFonts w:cs="Times New Roman"/>
      </w:rPr>
    </w:lvl>
    <w:lvl w:ilvl="6">
      <w:start w:val="1"/>
      <w:numFmt w:val="decimal"/>
      <w:lvlText w:val="%1.%2.%3.%4.%5.%6.%7."/>
      <w:lvlJc w:val="left"/>
      <w:pPr>
        <w:tabs>
          <w:tab w:val="num" w:pos="5400"/>
        </w:tabs>
        <w:ind w:left="5400" w:hanging="1080"/>
      </w:pPr>
      <w:rPr>
        <w:rFonts w:cs="Times New Roman"/>
      </w:rPr>
    </w:lvl>
    <w:lvl w:ilvl="7">
      <w:start w:val="1"/>
      <w:numFmt w:val="decimal"/>
      <w:lvlText w:val="%1.%2.%3.%4.%5.%6.%7.%8."/>
      <w:lvlJc w:val="left"/>
      <w:pPr>
        <w:tabs>
          <w:tab w:val="num" w:pos="6120"/>
        </w:tabs>
        <w:ind w:left="6120" w:hanging="1080"/>
      </w:pPr>
      <w:rPr>
        <w:rFonts w:cs="Times New Roman"/>
      </w:rPr>
    </w:lvl>
    <w:lvl w:ilvl="8">
      <w:start w:val="1"/>
      <w:numFmt w:val="decimal"/>
      <w:lvlText w:val="%1.%2.%3.%4.%5.%6.%7.%8.%9."/>
      <w:lvlJc w:val="left"/>
      <w:pPr>
        <w:tabs>
          <w:tab w:val="num" w:pos="6840"/>
        </w:tabs>
        <w:ind w:left="6840" w:hanging="1080"/>
      </w:pPr>
      <w:rPr>
        <w:rFonts w:cs="Times New Roman"/>
      </w:rPr>
    </w:lvl>
  </w:abstractNum>
  <w:abstractNum w:abstractNumId="15">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2">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4">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6">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7">
    <w:lvl w:ilvl="0">
      <w:start w:val="1"/>
      <w:numFmt w:val="decimal"/>
      <w:lvlText w:val="%1."/>
      <w:lvlJc w:val="left"/>
      <w:pPr>
        <w:tabs>
          <w:tab w:val="num" w:pos="360"/>
        </w:tabs>
        <w:ind w:left="360" w:hanging="360"/>
      </w:pPr>
      <w:rPr>
        <w:b/>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3"/>
    <w:lvlOverride w:ilvl="0">
      <w:startOverride w:val="3"/>
    </w:lvlOverride>
    <w:lvlOverride w:ilvl="1">
      <w:startOverride w:val="1"/>
    </w:lvlOverride>
  </w:num>
  <w:num w:numId="30">
    <w:abstractNumId w:val="3"/>
  </w:num>
  <w:num w:numId="31">
    <w:abstractNumId w:val="3"/>
  </w:num>
  <w:num w:numId="32">
    <w:abstractNumId w:val="3"/>
  </w:num>
  <w:num w:numId="33">
    <w:abstractNumId w:val="3"/>
  </w:num>
  <w:num w:numId="34">
    <w:abstractNumId w:val="3"/>
  </w:num>
  <w:num w:numId="35">
    <w:abstractNumId w:val="3"/>
  </w:num>
  <w:num w:numId="36">
    <w:abstractNumId w:val="3"/>
  </w:num>
  <w:num w:numId="37">
    <w:abstractNumId w:val="3"/>
  </w:num>
  <w:num w:numId="38">
    <w:abstractNumId w:val="3"/>
  </w:num>
  <w:num w:numId="39">
    <w:abstractNumId w:val="3"/>
  </w:num>
  <w:num w:numId="40">
    <w:abstractNumId w:val="3"/>
  </w:num>
  <w:num w:numId="41">
    <w:abstractNumId w:val="15"/>
    <w:lvlOverride w:ilvl="0">
      <w:startOverride w:val="1"/>
    </w:lvlOverride>
  </w:num>
  <w:num w:numId="42">
    <w:abstractNumId w:val="15"/>
  </w:num>
  <w:num w:numId="43">
    <w:abstractNumId w:val="15"/>
  </w:num>
  <w:num w:numId="44">
    <w:abstractNumId w:val="15"/>
  </w:num>
  <w:num w:numId="45">
    <w:abstractNumId w:val="15"/>
  </w:num>
  <w:num w:numId="46">
    <w:abstractNumId w:val="20"/>
    <w:lvlOverride w:ilvl="0">
      <w:startOverride w:val="1"/>
    </w:lvlOverride>
  </w:num>
  <w:num w:numId="47">
    <w:abstractNumId w:val="20"/>
  </w:num>
  <w:num w:numId="48">
    <w:abstractNumId w:val="20"/>
  </w:num>
  <w:num w:numId="49">
    <w:abstractNumId w:val="15"/>
  </w:num>
  <w:num w:numId="50">
    <w:abstractNumId w:val="15"/>
  </w:num>
  <w:num w:numId="51">
    <w:abstractNumId w:val="15"/>
  </w:num>
  <w:num w:numId="52">
    <w:abstractNumId w:val="15"/>
  </w:num>
  <w:num w:numId="53">
    <w:abstractNumId w:val="15"/>
  </w:num>
</w:numbering>
</file>

<file path=word/settings.xml><?xml version="1.0" encoding="utf-8"?>
<w:settings xmlns:w="http://schemas.openxmlformats.org/wordprocessingml/2006/main">
  <w:zoom w:percent="100"/>
  <w:embedSystemFonts/>
  <w:defaultTabStop w:val="720"/>
  <w:autoHyphenation w:val="true"/>
  <w:hyphenationZone w:val="360"/>
  <w:compat>
    <w:compatSetting w:name="compatibilityMode" w:uri="http://schemas.microsoft.com/office/word" w:val="1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semiHidden="1" w:unhideWhenUsed="1"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911a4b"/>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Heading1">
    <w:name w:val="heading 1"/>
    <w:basedOn w:val="Normal"/>
    <w:next w:val="Normal"/>
    <w:uiPriority w:val="99"/>
    <w:qFormat/>
    <w:rsid w:val="00835885"/>
    <w:pPr>
      <w:keepNext w:val="true"/>
      <w:keepLines/>
      <w:spacing w:before="480" w:after="0"/>
      <w:outlineLvl w:val="0"/>
    </w:pPr>
    <w:rPr>
      <w:rFonts w:ascii="Cambria" w:hAnsi="Cambria"/>
      <w:b/>
      <w:bCs/>
      <w:color w:val="365F91"/>
      <w:sz w:val="28"/>
      <w:szCs w:val="28"/>
    </w:rPr>
  </w:style>
  <w:style w:type="paragraph" w:styleId="Heading3">
    <w:name w:val="heading 3"/>
    <w:basedOn w:val="Normal"/>
    <w:next w:val="Normal"/>
    <w:link w:val="3"/>
    <w:uiPriority w:val="99"/>
    <w:qFormat/>
    <w:rsid w:val="000c0c3d"/>
    <w:pPr>
      <w:keepNext w:val="true"/>
      <w:spacing w:before="240" w:after="60"/>
      <w:outlineLvl w:val="2"/>
    </w:pPr>
    <w:rPr>
      <w:rFonts w:ascii="Cambria" w:hAnsi="Cambria"/>
      <w:b/>
      <w:bCs/>
      <w:sz w:val="26"/>
      <w:szCs w:val="26"/>
    </w:rPr>
  </w:style>
  <w:style w:type="character" w:styleId="DefaultParagraphFont" w:default="1">
    <w:name w:val="Default Paragraph Font"/>
    <w:uiPriority w:val="1"/>
    <w:semiHidden/>
    <w:unhideWhenUsed/>
    <w:qFormat/>
    <w:rPr/>
  </w:style>
  <w:style w:type="character" w:styleId="1" w:customStyle="1">
    <w:name w:val="Заголовок 1 Знак"/>
    <w:uiPriority w:val="99"/>
    <w:qFormat/>
    <w:locked/>
    <w:rsid w:val="00835885"/>
    <w:rPr>
      <w:rFonts w:ascii="Cambria" w:hAnsi="Cambria" w:cs="Times New Roman"/>
      <w:b/>
      <w:bCs/>
      <w:color w:val="365F91"/>
      <w:sz w:val="28"/>
      <w:szCs w:val="28"/>
    </w:rPr>
  </w:style>
  <w:style w:type="character" w:styleId="3" w:customStyle="1">
    <w:name w:val="Заголовок 3 Знак"/>
    <w:uiPriority w:val="99"/>
    <w:semiHidden/>
    <w:qFormat/>
    <w:locked/>
    <w:rsid w:val="000c0c3d"/>
    <w:rPr>
      <w:rFonts w:ascii="Cambria" w:hAnsi="Cambria" w:cs="Times New Roman"/>
      <w:b/>
      <w:bCs/>
      <w:sz w:val="26"/>
      <w:szCs w:val="26"/>
    </w:rPr>
  </w:style>
  <w:style w:type="character" w:styleId="Style12" w:customStyle="1">
    <w:name w:val="Основной текст с отступом Знак"/>
    <w:uiPriority w:val="99"/>
    <w:qFormat/>
    <w:locked/>
    <w:rsid w:val="00835885"/>
    <w:rPr>
      <w:rFonts w:cs="Times New Roman"/>
    </w:rPr>
  </w:style>
  <w:style w:type="character" w:styleId="31" w:customStyle="1">
    <w:name w:val="Основной текст 3 Знак"/>
    <w:uiPriority w:val="99"/>
    <w:semiHidden/>
    <w:qFormat/>
    <w:rsid w:val="005b52c2"/>
    <w:rPr>
      <w:sz w:val="16"/>
      <w:szCs w:val="16"/>
    </w:rPr>
  </w:style>
  <w:style w:type="character" w:styleId="32" w:customStyle="1">
    <w:name w:val="Основной текст с отступом 3 Знак"/>
    <w:qFormat/>
    <w:locked/>
    <w:rsid w:val="00835885"/>
    <w:rPr>
      <w:rFonts w:cs="Times New Roman"/>
      <w:sz w:val="16"/>
      <w:szCs w:val="16"/>
    </w:rPr>
  </w:style>
  <w:style w:type="character" w:styleId="Style13" w:customStyle="1">
    <w:name w:val="Текст выноски Знак"/>
    <w:uiPriority w:val="99"/>
    <w:qFormat/>
    <w:locked/>
    <w:rsid w:val="00ac4831"/>
    <w:rPr>
      <w:rFonts w:ascii="Tahoma" w:hAnsi="Tahoma" w:cs="Tahoma"/>
      <w:sz w:val="16"/>
      <w:szCs w:val="16"/>
    </w:rPr>
  </w:style>
  <w:style w:type="character" w:styleId="2" w:customStyle="1">
    <w:name w:val="Основной текст с отступом 2 Знак"/>
    <w:uiPriority w:val="99"/>
    <w:qFormat/>
    <w:locked/>
    <w:rsid w:val="00835885"/>
    <w:rPr>
      <w:rFonts w:cs="Times New Roman"/>
    </w:rPr>
  </w:style>
  <w:style w:type="character" w:styleId="Style14" w:customStyle="1">
    <w:name w:val="Название Знак"/>
    <w:uiPriority w:val="99"/>
    <w:qFormat/>
    <w:locked/>
    <w:rsid w:val="00835885"/>
    <w:rPr>
      <w:rFonts w:cs="Times New Roman"/>
      <w:b/>
      <w:sz w:val="24"/>
    </w:rPr>
  </w:style>
  <w:style w:type="character" w:styleId="Style15" w:customStyle="1">
    <w:name w:val="Текст Знак"/>
    <w:uiPriority w:val="99"/>
    <w:qFormat/>
    <w:locked/>
    <w:rsid w:val="00835885"/>
    <w:rPr>
      <w:rFonts w:ascii="Courier New" w:hAnsi="Courier New" w:cs="Times New Roman"/>
      <w:sz w:val="24"/>
      <w:szCs w:val="24"/>
    </w:rPr>
  </w:style>
  <w:style w:type="character" w:styleId="Style16" w:customStyle="1">
    <w:name w:val="Верхний колонтитул Знак"/>
    <w:uiPriority w:val="99"/>
    <w:qFormat/>
    <w:locked/>
    <w:rsid w:val="001771e0"/>
    <w:rPr>
      <w:rFonts w:cs="Times New Roman"/>
    </w:rPr>
  </w:style>
  <w:style w:type="character" w:styleId="Style17" w:customStyle="1">
    <w:name w:val="Нижний колонтитул Знак"/>
    <w:uiPriority w:val="99"/>
    <w:qFormat/>
    <w:locked/>
    <w:rsid w:val="001771e0"/>
    <w:rPr>
      <w:rFonts w:cs="Times New Roman"/>
    </w:rPr>
  </w:style>
  <w:style w:type="character" w:styleId="Hyperlink">
    <w:name w:val="Hyperlink"/>
    <w:uiPriority w:val="99"/>
    <w:unhideWhenUsed/>
    <w:rsid w:val="008f6c15"/>
    <w:rPr>
      <w:color w:val="0000FF"/>
      <w:u w:val="single"/>
    </w:rPr>
  </w:style>
  <w:style w:type="paragraph" w:styleId="Style18">
    <w:name w:val="Заголовок"/>
    <w:basedOn w:val="Normal"/>
    <w:next w:val="BodyText"/>
    <w:qFormat/>
    <w:pPr>
      <w:keepNext w:val="true"/>
      <w:spacing w:before="240" w:after="120"/>
    </w:pPr>
    <w:rPr>
      <w:rFonts w:ascii="PT Sans" w:hAnsi="PT Sans"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Sans" w:hAnsi="PT Sans" w:cs="Noto Sans Devanagari"/>
    </w:rPr>
  </w:style>
  <w:style w:type="paragraph" w:styleId="Caption">
    <w:name w:val="caption"/>
    <w:basedOn w:val="Normal"/>
    <w:uiPriority w:val="99"/>
    <w:qFormat/>
    <w:rsid w:val="00911a4b"/>
    <w:pPr>
      <w:jc w:val="center"/>
    </w:pPr>
    <w:rPr>
      <w:sz w:val="24"/>
    </w:rPr>
  </w:style>
  <w:style w:type="paragraph" w:styleId="Style19">
    <w:name w:val="Указатель"/>
    <w:basedOn w:val="Normal"/>
    <w:qFormat/>
    <w:pPr>
      <w:suppressLineNumbers/>
    </w:pPr>
    <w:rPr>
      <w:rFonts w:ascii="PT Sans" w:hAnsi="PT Sans" w:cs="Noto Sans Devanagari"/>
    </w:rPr>
  </w:style>
  <w:style w:type="paragraph" w:styleId="BodyTextIndent">
    <w:name w:val="Body Text Indent"/>
    <w:basedOn w:val="Normal"/>
    <w:uiPriority w:val="99"/>
    <w:rsid w:val="00911a4b"/>
    <w:pPr>
      <w:spacing w:before="0" w:after="120"/>
      <w:ind w:hanging="0" w:left="283"/>
    </w:pPr>
    <w:rPr/>
  </w:style>
  <w:style w:type="paragraph" w:styleId="BodyText3">
    <w:name w:val="Body Text 3"/>
    <w:basedOn w:val="Normal"/>
    <w:link w:val="32"/>
    <w:uiPriority w:val="99"/>
    <w:qFormat/>
    <w:rsid w:val="00911a4b"/>
    <w:pPr/>
    <w:rPr>
      <w:sz w:val="28"/>
    </w:rPr>
  </w:style>
  <w:style w:type="paragraph" w:styleId="BodyTextIndent3">
    <w:name w:val="Body Text Indent 3"/>
    <w:basedOn w:val="Normal"/>
    <w:qFormat/>
    <w:rsid w:val="00911a4b"/>
    <w:pPr>
      <w:spacing w:before="0" w:after="120"/>
      <w:ind w:hanging="0" w:left="283"/>
    </w:pPr>
    <w:rPr>
      <w:sz w:val="16"/>
      <w:szCs w:val="16"/>
    </w:rPr>
  </w:style>
  <w:style w:type="paragraph" w:styleId="11" w:customStyle="1">
    <w:name w:val="Обычный1"/>
    <w:uiPriority w:val="99"/>
    <w:qFormat/>
    <w:rsid w:val="00911a4b"/>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ListParagraph">
    <w:name w:val="List Paragraph"/>
    <w:basedOn w:val="Normal"/>
    <w:uiPriority w:val="99"/>
    <w:qFormat/>
    <w:rsid w:val="00911a4b"/>
    <w:pPr>
      <w:spacing w:before="0" w:after="0"/>
      <w:ind w:hanging="0" w:left="720"/>
      <w:contextualSpacing/>
    </w:pPr>
    <w:rPr/>
  </w:style>
  <w:style w:type="paragraph" w:styleId="BalloonText">
    <w:name w:val="Balloon Text"/>
    <w:basedOn w:val="Normal"/>
    <w:uiPriority w:val="99"/>
    <w:qFormat/>
    <w:rsid w:val="00ac4831"/>
    <w:pPr/>
    <w:rPr>
      <w:rFonts w:ascii="Tahoma" w:hAnsi="Tahoma" w:cs="Tahoma"/>
      <w:sz w:val="16"/>
      <w:szCs w:val="16"/>
    </w:rPr>
  </w:style>
  <w:style w:type="paragraph" w:styleId="BodyTextIndent2">
    <w:name w:val="Body Text Indent 2"/>
    <w:basedOn w:val="Normal"/>
    <w:uiPriority w:val="99"/>
    <w:qFormat/>
    <w:rsid w:val="00835885"/>
    <w:pPr>
      <w:spacing w:lineRule="auto" w:line="480" w:before="0" w:after="120"/>
      <w:ind w:hanging="0" w:left="283"/>
    </w:pPr>
    <w:rPr/>
  </w:style>
  <w:style w:type="paragraph" w:styleId="ListBullet3">
    <w:name w:val="List Bullet 3"/>
    <w:basedOn w:val="Normal"/>
    <w:uiPriority w:val="99"/>
    <w:qFormat/>
    <w:rsid w:val="00835885"/>
    <w:pPr>
      <w:tabs>
        <w:tab w:val="clear" w:pos="720"/>
        <w:tab w:val="left" w:pos="926" w:leader="none"/>
      </w:tabs>
      <w:ind w:hanging="283" w:left="849"/>
    </w:pPr>
    <w:rPr/>
  </w:style>
  <w:style w:type="paragraph" w:styleId="Title">
    <w:name w:val="Title"/>
    <w:basedOn w:val="Normal"/>
    <w:uiPriority w:val="99"/>
    <w:qFormat/>
    <w:rsid w:val="00835885"/>
    <w:pPr>
      <w:jc w:val="center"/>
    </w:pPr>
    <w:rPr>
      <w:b/>
      <w:sz w:val="24"/>
    </w:rPr>
  </w:style>
  <w:style w:type="paragraph" w:styleId="PlainText">
    <w:name w:val="Plain Text"/>
    <w:basedOn w:val="Normal"/>
    <w:uiPriority w:val="99"/>
    <w:qFormat/>
    <w:rsid w:val="00835885"/>
    <w:pPr/>
    <w:rPr>
      <w:rFonts w:ascii="Courier New" w:hAnsi="Courier New"/>
      <w:szCs w:val="24"/>
    </w:rPr>
  </w:style>
  <w:style w:type="paragraph" w:styleId="ConsNormal" w:customStyle="1">
    <w:name w:val="ConsNormal"/>
    <w:uiPriority w:val="99"/>
    <w:qFormat/>
    <w:rsid w:val="00835885"/>
    <w:pPr>
      <w:widowControl w:val="false"/>
      <w:suppressAutoHyphens w:val="true"/>
      <w:bidi w:val="0"/>
      <w:spacing w:before="0" w:after="0"/>
      <w:ind w:firstLine="720" w:right="19772"/>
      <w:jc w:val="left"/>
    </w:pPr>
    <w:rPr>
      <w:rFonts w:ascii="Arial" w:hAnsi="Arial" w:eastAsia="Times New Roman" w:cs="Arial"/>
      <w:color w:val="auto"/>
      <w:kern w:val="0"/>
      <w:sz w:val="24"/>
      <w:szCs w:val="24"/>
      <w:lang w:val="ru-RU" w:eastAsia="ru-RU" w:bidi="ar-SA"/>
    </w:rPr>
  </w:style>
  <w:style w:type="paragraph" w:styleId="Style20">
    <w:name w:val="Верхний и нижний колонтитулы"/>
    <w:basedOn w:val="Normal"/>
    <w:qFormat/>
    <w:pPr/>
    <w:rPr/>
  </w:style>
  <w:style w:type="paragraph" w:styleId="HeaderandFooter">
    <w:name w:val="Header and Footer"/>
    <w:basedOn w:val="Normal"/>
    <w:qFormat/>
    <w:pPr/>
    <w:rPr/>
  </w:style>
  <w:style w:type="paragraph" w:styleId="Header">
    <w:name w:val="header"/>
    <w:basedOn w:val="Normal"/>
    <w:uiPriority w:val="99"/>
    <w:rsid w:val="001771e0"/>
    <w:pPr>
      <w:tabs>
        <w:tab w:val="clear" w:pos="720"/>
        <w:tab w:val="center" w:pos="4677" w:leader="none"/>
        <w:tab w:val="right" w:pos="9355" w:leader="none"/>
      </w:tabs>
    </w:pPr>
    <w:rPr/>
  </w:style>
  <w:style w:type="paragraph" w:styleId="Footer">
    <w:name w:val="footer"/>
    <w:basedOn w:val="Normal"/>
    <w:uiPriority w:val="99"/>
    <w:rsid w:val="001771e0"/>
    <w:pPr>
      <w:tabs>
        <w:tab w:val="clear" w:pos="720"/>
        <w:tab w:val="center" w:pos="4677" w:leader="none"/>
        <w:tab w:val="right" w:pos="9355" w:leader="none"/>
      </w:tabs>
    </w:pPr>
    <w:rPr/>
  </w:style>
  <w:style w:type="numbering" w:styleId="Style21"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f1">
    <w:name w:val="Table Grid"/>
    <w:basedOn w:val="a1"/>
    <w:uiPriority w:val="99"/>
    <w:rsid w:val="00db70d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1145</TotalTime>
  <Application>LibreOffice/24.8.4.2$Linux_X86_64 LibreOffice_project/480$Build-2</Application>
  <AppVersion>15.0000</AppVersion>
  <DocSecurity>0</DocSecurity>
  <Pages>8</Pages>
  <Words>4738</Words>
  <Characters>33705</Characters>
  <CharactersWithSpaces>130267</CharactersWithSpaces>
  <Paragraphs>195</Paragraphs>
  <Company>ОВО</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2012-07-28T05:46:00Z</dcterms:created>
  <dc:creator>Трудяга</dc:creator>
  <dc:description/>
  <dc:language>ru-RU</dc:language>
  <cp:lastModifiedBy/>
  <cp:lastPrinted>2016-06-21T13:45:00Z</cp:lastPrinted>
  <dcterms:modified xsi:type="dcterms:W3CDTF">2025-07-07T16:11:21Z</dcterms:modified>
  <cp:revision>61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