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er4.xml" ContentType="application/vnd.openxmlformats-officedocument.wordprocessingml.footer+xml"/>
  <Override PartName="/word/footer5.xml" ContentType="application/vnd.openxmlformats-officedocument.wordprocessingml.footer+xml"/>
  <Override PartName="/word/theme/theme1.xml" ContentType="application/vnd.openxmlformats-officedocument.theme+xml"/>
  <Override PartName="/word/_rels/document.xml.rels" ContentType="application/vnd.openxmlformats-package.relationships+xml"/>
  <Override PartName="/word/footer6.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r>
    </w:p>
    <w:p>
      <w:pPr>
        <w:pStyle w:val="Normal"/>
        <w:jc w:val="center"/>
        <w:rPr>
          <w:highlight w:val="white"/>
        </w:rPr>
      </w:pPr>
      <w:r>
        <w:rPr>
          <w:sz w:val="22"/>
          <w:highlight w:val="white"/>
        </w:rPr>
        <w:t>ДОГОВОР № _____/К-GSM</w:t>
      </w:r>
    </w:p>
    <w:p>
      <w:pPr>
        <w:pStyle w:val="Normal"/>
        <w:jc w:val="center"/>
        <w:rPr>
          <w:highlight w:val="white"/>
        </w:rPr>
      </w:pPr>
      <w:r>
        <w:rPr>
          <w:b/>
          <w:sz w:val="22"/>
          <w:highlight w:val="white"/>
        </w:rPr>
        <w:t>Возмездного оказания услуг по охране имущества путем оперативного реагирования на сообщения  о срабатывании средств охранно-пожарной сигнализации</w:t>
      </w:r>
    </w:p>
    <w:p>
      <w:pPr>
        <w:pStyle w:val="BodyText"/>
        <w:jc w:val="center"/>
        <w:rPr>
          <w:sz w:val="22"/>
          <w:highlight w:val="white"/>
        </w:rPr>
      </w:pPr>
      <w:r>
        <w:rPr>
          <w:sz w:val="22"/>
          <w:highlight w:val="white"/>
        </w:rPr>
      </w:r>
    </w:p>
    <w:p>
      <w:pPr>
        <w:pStyle w:val="BodyText"/>
        <w:jc w:val="center"/>
        <w:rPr>
          <w:sz w:val="22"/>
        </w:rPr>
      </w:pPr>
      <w:r>
        <w:rPr>
          <w:sz w:val="22"/>
          <w:highlight w:val="white"/>
        </w:rPr>
        <w:t>п._____________________</w:t>
        <w:tab/>
        <w:t xml:space="preserve">                                                                                    «   » _</w:t>
      </w:r>
      <w:r>
        <w:rPr>
          <w:sz w:val="22"/>
        </w:rPr>
        <w:t>__________  2024 г.</w:t>
      </w:r>
    </w:p>
    <w:p>
      <w:pPr>
        <w:pStyle w:val="Normal"/>
        <w:rPr>
          <w:sz w:val="22"/>
        </w:rPr>
      </w:pPr>
      <w:r>
        <w:rPr>
          <w:sz w:val="22"/>
        </w:rPr>
      </w:r>
    </w:p>
    <w:p>
      <w:pPr>
        <w:pStyle w:val="Normal"/>
        <w:ind w:firstLine="708" w:left="0" w:right="0"/>
        <w:jc w:val="both"/>
        <w:rPr>
          <w:sz w:val="22"/>
        </w:rPr>
      </w:pPr>
      <w:r>
        <w:rPr>
          <w:sz w:val="22"/>
        </w:rPr>
        <w:t xml:space="preserve"> </w:t>
      </w:r>
      <w:r>
        <w:rPr>
          <w:b w:val="false"/>
          <w:bCs w:val="false"/>
          <w:sz w:val="21"/>
        </w:rPr>
        <w:t>Федеральное государственное казенное учреждение «Отдел вневедомственной охраны войск национальной гвардии Российской Федерации по Астраханской области», имен</w:t>
      </w:r>
      <w:r>
        <w:rPr>
          <w:sz w:val="21"/>
        </w:rPr>
        <w:t xml:space="preserve">уемое в дальнейшем </w:t>
      </w:r>
      <w:r>
        <w:rPr>
          <w:b/>
          <w:sz w:val="21"/>
        </w:rPr>
        <w:t>«ОХРАНА»,</w:t>
      </w:r>
      <w:r>
        <w:rPr>
          <w:sz w:val="21"/>
        </w:rPr>
        <w:t xml:space="preserve"> в лице начальника Отделения вневедомственной охраны по ____________________ району – филиала федерального государственного казенного учреждения «Отдел вневедомственной охраны войск национальной гвардии Российской Федерации по Астраханской области» _________________________, действующего на основании Положения о филиале и Доверенности № №442/107 от 01 декабря 2023 года, с одной стороны,  и ________________________________</w:t>
      </w:r>
      <w:r>
        <w:rPr>
          <w:b/>
          <w:sz w:val="21"/>
        </w:rPr>
        <w:t>,</w:t>
      </w:r>
      <w:r>
        <w:rPr>
          <w:sz w:val="21"/>
        </w:rPr>
        <w:t xml:space="preserve"> именуемое в дальнейшем</w:t>
      </w:r>
      <w:r>
        <w:rPr>
          <w:b/>
          <w:sz w:val="21"/>
        </w:rPr>
        <w:t xml:space="preserve"> «КЛИЕНТ», </w:t>
      </w:r>
      <w:r>
        <w:rPr>
          <w:sz w:val="21"/>
        </w:rPr>
        <w:t>в лице генерального директора ____________________________ ,</w:t>
      </w:r>
      <w:r>
        <w:rPr>
          <w:b/>
          <w:sz w:val="21"/>
        </w:rPr>
        <w:t xml:space="preserve"> </w:t>
      </w:r>
      <w:r>
        <w:rPr>
          <w:sz w:val="21"/>
        </w:rPr>
        <w:t>действующего на основании ________________, с другой стороны, вместе именуемые СТОРОНЫ, по отдельности СТОРОНА, заключили настоящий договор о нижеследующем:</w:t>
      </w:r>
    </w:p>
    <w:p>
      <w:pPr>
        <w:pStyle w:val="Normal"/>
        <w:ind w:firstLine="708" w:left="0" w:right="0"/>
        <w:jc w:val="both"/>
        <w:rPr>
          <w:sz w:val="22"/>
        </w:rPr>
      </w:pPr>
      <w:r>
        <w:rPr>
          <w:sz w:val="22"/>
        </w:rPr>
      </w:r>
    </w:p>
    <w:p>
      <w:pPr>
        <w:pStyle w:val="Normal"/>
        <w:ind w:firstLine="708" w:left="0" w:right="0"/>
        <w:jc w:val="both"/>
        <w:rPr>
          <w:b/>
          <w:sz w:val="22"/>
        </w:rPr>
      </w:pPr>
      <w:r>
        <w:rPr>
          <w:b/>
          <w:sz w:val="22"/>
        </w:rPr>
        <w:t xml:space="preserve">           </w:t>
      </w:r>
      <w:r>
        <w:rPr>
          <w:b/>
          <w:sz w:val="22"/>
          <w:highlight w:val="white"/>
        </w:rPr>
        <w:t xml:space="preserve">                            </w:t>
      </w:r>
      <w:r>
        <w:rPr>
          <w:b/>
          <w:sz w:val="22"/>
          <w:highlight w:val="white"/>
        </w:rPr>
        <w:t>1. ПРЕДМЕТ ДОГОВОРА.</w:t>
      </w:r>
    </w:p>
    <w:p>
      <w:pPr>
        <w:pStyle w:val="Normal"/>
        <w:jc w:val="both"/>
        <w:rPr>
          <w:highlight w:val="white"/>
        </w:rPr>
      </w:pPr>
      <w:r>
        <w:rPr>
          <w:sz w:val="22"/>
          <w:highlight w:val="white"/>
        </w:rPr>
        <w:t xml:space="preserve">               </w:t>
      </w:r>
    </w:p>
    <w:p>
      <w:pPr>
        <w:pStyle w:val="Normal"/>
        <w:jc w:val="both"/>
        <w:rPr>
          <w:highlight w:val="white"/>
        </w:rPr>
      </w:pPr>
      <w:r>
        <w:rPr>
          <w:sz w:val="22"/>
          <w:highlight w:val="white"/>
        </w:rPr>
        <w:tab/>
        <w:t>1.1.</w:t>
      </w:r>
      <w:r>
        <w:rPr>
          <w:b/>
          <w:sz w:val="22"/>
          <w:highlight w:val="white"/>
        </w:rPr>
        <w:t xml:space="preserve"> ОХРАНА</w:t>
      </w:r>
      <w:r>
        <w:rPr>
          <w:sz w:val="22"/>
          <w:highlight w:val="white"/>
        </w:rPr>
        <w:t xml:space="preserve"> обеспечивает </w:t>
      </w:r>
      <w:r>
        <w:rPr>
          <w:sz w:val="24"/>
          <w:szCs w:val="24"/>
          <w:highlight w:val="white"/>
        </w:rPr>
        <w:t xml:space="preserve">возмездное оказания услуг по охране имущества путем оперативного реагирования на сообщения о срабатывании средств </w:t>
      </w:r>
      <w:r>
        <w:rPr>
          <w:sz w:val="22"/>
          <w:szCs w:val="24"/>
          <w:highlight w:val="white"/>
        </w:rPr>
        <w:t xml:space="preserve">охранно-пожарной сигнализации, </w:t>
      </w:r>
      <w:r>
        <w:rPr>
          <w:sz w:val="22"/>
          <w:highlight w:val="white"/>
        </w:rPr>
        <w:t xml:space="preserve"> (далее ОПС) </w:t>
      </w:r>
      <w:r>
        <w:rPr>
          <w:sz w:val="24"/>
          <w:szCs w:val="24"/>
          <w:highlight w:val="white"/>
        </w:rPr>
        <w:t xml:space="preserve">(при установке на объекте средств пожарной сигнализации) </w:t>
      </w:r>
      <w:r>
        <w:rPr>
          <w:sz w:val="22"/>
          <w:highlight w:val="white"/>
        </w:rPr>
        <w:t xml:space="preserve">находящейся в помещениях, объектах (далее  - объект), перечисленных в прилагаемом к договору Приложении № 1, принятых от </w:t>
      </w:r>
      <w:r>
        <w:rPr>
          <w:b/>
          <w:sz w:val="22"/>
          <w:highlight w:val="white"/>
        </w:rPr>
        <w:t>КЛИЕНТА</w:t>
      </w:r>
      <w:r>
        <w:rPr>
          <w:sz w:val="22"/>
          <w:highlight w:val="white"/>
        </w:rPr>
        <w:t xml:space="preserve"> в установленном порядке, с помощью пульта централизованного наблюдения (далее – ПЦН) </w:t>
      </w:r>
      <w:r>
        <w:rPr>
          <w:b/>
          <w:sz w:val="22"/>
          <w:highlight w:val="white"/>
        </w:rPr>
        <w:t>ОХРАНЫ</w:t>
      </w:r>
      <w:r>
        <w:rPr>
          <w:sz w:val="22"/>
          <w:highlight w:val="white"/>
        </w:rPr>
        <w:t xml:space="preserve"> по беспроводному каналу </w:t>
      </w:r>
      <w:r>
        <w:rPr>
          <w:color w:val="000000"/>
          <w:sz w:val="22"/>
          <w:highlight w:val="white"/>
        </w:rPr>
        <w:t xml:space="preserve">связи GSM/GPRS  при </w:t>
      </w:r>
      <w:r>
        <w:rPr>
          <w:sz w:val="22"/>
          <w:highlight w:val="white"/>
        </w:rPr>
        <w:t xml:space="preserve">бесперебойном электроснабжении и выяснять причины поступления сигнала при срабатывании средств сигнализации с помощью группы задержания </w:t>
      </w:r>
      <w:r>
        <w:rPr>
          <w:b/>
          <w:sz w:val="22"/>
          <w:highlight w:val="white"/>
        </w:rPr>
        <w:t>ОХРАНЫ</w:t>
      </w:r>
      <w:r>
        <w:rPr>
          <w:sz w:val="22"/>
          <w:highlight w:val="white"/>
        </w:rPr>
        <w:t xml:space="preserve">, путем ее прибытия на объект. </w:t>
      </w:r>
    </w:p>
    <w:p>
      <w:pPr>
        <w:pStyle w:val="Normal"/>
        <w:jc w:val="both"/>
        <w:rPr>
          <w:highlight w:val="white"/>
        </w:rPr>
      </w:pPr>
      <w:r>
        <w:rPr>
          <w:sz w:val="22"/>
          <w:highlight w:val="white"/>
        </w:rPr>
        <w:tab/>
        <w:t xml:space="preserve">1.2. Прием под охрану ОПС </w:t>
      </w:r>
      <w:r>
        <w:rPr>
          <w:sz w:val="24"/>
          <w:szCs w:val="24"/>
          <w:highlight w:val="white"/>
        </w:rPr>
        <w:t xml:space="preserve">(при наличие на объекте пожарной сигнализации) </w:t>
      </w:r>
      <w:r>
        <w:rPr>
          <w:sz w:val="22"/>
          <w:highlight w:val="white"/>
        </w:rPr>
        <w:t xml:space="preserve">и сдача их </w:t>
      </w:r>
      <w:r>
        <w:rPr>
          <w:b/>
          <w:sz w:val="22"/>
          <w:highlight w:val="white"/>
        </w:rPr>
        <w:t>КЛИЕНТУ</w:t>
      </w:r>
      <w:r>
        <w:rPr>
          <w:sz w:val="22"/>
          <w:highlight w:val="white"/>
        </w:rPr>
        <w:t xml:space="preserve"> осуществляется согласно Инструкции о порядке пользования средствами охранно-пожарной  сигнализации (Приложение № 2). </w:t>
      </w:r>
    </w:p>
    <w:p>
      <w:pPr>
        <w:pStyle w:val="Normal"/>
        <w:jc w:val="both"/>
        <w:rPr>
          <w:b/>
          <w:sz w:val="24"/>
        </w:rPr>
      </w:pPr>
      <w:r>
        <w:rPr>
          <w:sz w:val="22"/>
          <w:highlight w:val="white"/>
        </w:rPr>
        <w:tab/>
        <w:t xml:space="preserve">1.3. </w:t>
      </w:r>
      <w:r>
        <w:rPr>
          <w:sz w:val="24"/>
          <w:highlight w:val="white"/>
        </w:rPr>
        <w:t>Техническое обслуживание, текущий и капитальный ре</w:t>
      </w:r>
      <w:r>
        <w:rPr>
          <w:sz w:val="24"/>
        </w:rPr>
        <w:t>монт технических средств охраны, установленных на объекте, а также ответственность за их исправную работоспособность</w:t>
      </w:r>
      <w:r>
        <w:rPr>
          <w:color w:val="FF0000"/>
          <w:sz w:val="24"/>
        </w:rPr>
        <w:t>,</w:t>
      </w:r>
      <w:r>
        <w:rPr>
          <w:sz w:val="24"/>
        </w:rPr>
        <w:t xml:space="preserve"> несет обслуживающая организация в соответствии с отдельно заключенным договором на техническое обслуживание технических средств охраны</w:t>
      </w:r>
      <w:r>
        <w:rPr>
          <w:b/>
          <w:sz w:val="24"/>
        </w:rPr>
        <w:t xml:space="preserve">.  </w:t>
      </w:r>
    </w:p>
    <w:p>
      <w:pPr>
        <w:pStyle w:val="Normal"/>
        <w:tabs>
          <w:tab w:val="clear" w:pos="720"/>
          <w:tab w:val="left" w:pos="567" w:leader="none"/>
          <w:tab w:val="left" w:pos="709" w:leader="none"/>
          <w:tab w:val="left" w:pos="851" w:leader="none"/>
        </w:tabs>
        <w:jc w:val="both"/>
        <w:rPr>
          <w:sz w:val="22"/>
        </w:rPr>
      </w:pPr>
      <w:r>
        <w:rPr>
          <w:sz w:val="22"/>
        </w:rPr>
      </w:r>
    </w:p>
    <w:p>
      <w:pPr>
        <w:pStyle w:val="Normal"/>
        <w:jc w:val="center"/>
        <w:rPr>
          <w:b/>
          <w:sz w:val="22"/>
        </w:rPr>
      </w:pPr>
      <w:r>
        <w:rPr>
          <w:b/>
          <w:sz w:val="22"/>
        </w:rPr>
        <w:t>2. ОБЩИЕ ПОЛОЖЕНИЯ.</w:t>
      </w:r>
    </w:p>
    <w:p>
      <w:pPr>
        <w:pStyle w:val="Normal"/>
        <w:jc w:val="both"/>
        <w:rPr>
          <w:sz w:val="22"/>
        </w:rPr>
      </w:pPr>
      <w:r>
        <w:rPr>
          <w:sz w:val="22"/>
        </w:rPr>
      </w:r>
    </w:p>
    <w:p>
      <w:pPr>
        <w:pStyle w:val="Normal"/>
        <w:jc w:val="both"/>
        <w:rPr>
          <w:sz w:val="22"/>
        </w:rPr>
      </w:pPr>
      <w:r>
        <w:rPr>
          <w:sz w:val="22"/>
        </w:rPr>
        <w:tab/>
        <w:t>2.1. Техническое состояние принимаемых под контроль средств сигнализации, необходимые технические средства охраны, потребность в этих средствах, а также сроки их внедрения указываются в трехстороннем акте обследования, составляемом до заключения Договора.</w:t>
      </w:r>
    </w:p>
    <w:p>
      <w:pPr>
        <w:pStyle w:val="Normal"/>
        <w:jc w:val="both"/>
        <w:rPr>
          <w:sz w:val="22"/>
        </w:rPr>
      </w:pPr>
      <w:r>
        <w:rPr>
          <w:sz w:val="22"/>
        </w:rPr>
        <w:t xml:space="preserve">        </w:t>
      </w:r>
      <w:r>
        <w:rPr>
          <w:sz w:val="22"/>
        </w:rPr>
        <w:t xml:space="preserve">Последующее обследование технического состояния средств сигнализации, находящихся на объекте, производится при необходимости, но не реже двух раз в год, представителями </w:t>
      </w:r>
      <w:r>
        <w:rPr>
          <w:b/>
          <w:sz w:val="22"/>
        </w:rPr>
        <w:t>ОХРАНЫ</w:t>
      </w:r>
      <w:r>
        <w:rPr>
          <w:sz w:val="22"/>
        </w:rPr>
        <w:t xml:space="preserve">, обслуживающей организации и </w:t>
      </w:r>
      <w:r>
        <w:rPr>
          <w:b/>
          <w:sz w:val="22"/>
        </w:rPr>
        <w:t>КЛИЕНТА</w:t>
      </w:r>
      <w:r>
        <w:rPr>
          <w:sz w:val="22"/>
        </w:rPr>
        <w:t xml:space="preserve"> с составлением актов обследования технического состояния средств сигнализации, которые приобщаются к договору и становятся неотъемлемой его частью, с указанием в них выявленных недостатков по работоспособности средств сигнализации, а также необходимых мероприятий по их устранению и сроков выполнения этих мероприятий.</w:t>
      </w:r>
    </w:p>
    <w:p>
      <w:pPr>
        <w:pStyle w:val="Normal"/>
        <w:jc w:val="both"/>
        <w:rPr>
          <w:sz w:val="22"/>
        </w:rPr>
      </w:pPr>
      <w:r>
        <w:rPr>
          <w:sz w:val="22"/>
        </w:rPr>
        <w:t xml:space="preserve">        </w:t>
      </w:r>
      <w:r>
        <w:rPr>
          <w:b/>
          <w:sz w:val="22"/>
        </w:rPr>
        <w:t>КЛИЕНТ</w:t>
      </w:r>
      <w:r>
        <w:rPr>
          <w:sz w:val="22"/>
        </w:rPr>
        <w:t xml:space="preserve"> вправе устанавливать и изменять время контроля за техническим состоянием средств сигнализации на объектах по согласованию с </w:t>
      </w:r>
      <w:r>
        <w:rPr>
          <w:b/>
          <w:sz w:val="22"/>
        </w:rPr>
        <w:t>ОХРАНОЙ</w:t>
      </w:r>
      <w:r>
        <w:rPr>
          <w:sz w:val="22"/>
        </w:rPr>
        <w:t xml:space="preserve">. Уведомление об изменении направляются </w:t>
      </w:r>
      <w:r>
        <w:rPr>
          <w:b/>
          <w:sz w:val="22"/>
        </w:rPr>
        <w:t>ОХРАНЕ</w:t>
      </w:r>
      <w:r>
        <w:rPr>
          <w:sz w:val="22"/>
        </w:rPr>
        <w:t xml:space="preserve"> письменно за 5 дней до наступления желаемой даты.</w:t>
      </w:r>
    </w:p>
    <w:p>
      <w:pPr>
        <w:pStyle w:val="Normal"/>
        <w:jc w:val="both"/>
        <w:rPr>
          <w:sz w:val="22"/>
        </w:rPr>
      </w:pPr>
      <w:r>
        <w:rPr>
          <w:sz w:val="22"/>
        </w:rPr>
        <w:tab/>
        <w:t xml:space="preserve">При получении уведомления </w:t>
      </w:r>
      <w:r>
        <w:rPr>
          <w:b/>
          <w:sz w:val="22"/>
        </w:rPr>
        <w:t>ОХРАНА</w:t>
      </w:r>
      <w:r>
        <w:rPr>
          <w:sz w:val="22"/>
        </w:rPr>
        <w:t xml:space="preserve"> рассчитывает и направляет </w:t>
      </w:r>
      <w:r>
        <w:rPr>
          <w:b/>
          <w:sz w:val="22"/>
        </w:rPr>
        <w:t>КЛИЕНТУ</w:t>
      </w:r>
      <w:r>
        <w:rPr>
          <w:sz w:val="22"/>
        </w:rPr>
        <w:t xml:space="preserve"> для подписания Приложение № 1 с соответствующими изменениями. </w:t>
      </w:r>
      <w:r>
        <w:rPr>
          <w:b/>
          <w:sz w:val="22"/>
        </w:rPr>
        <w:t>КЛИЕНТ</w:t>
      </w:r>
      <w:r>
        <w:rPr>
          <w:sz w:val="22"/>
        </w:rPr>
        <w:t xml:space="preserve"> подписывает и возвращает один экземпляр Приложения № 1. До возвраще</w:t>
      </w:r>
      <w:r>
        <w:rPr>
          <w:sz w:val="22"/>
          <w:highlight w:val="white"/>
        </w:rPr>
        <w:t xml:space="preserve">ния подписанного экземпляра Приложения № 1 контроль за техническим состоянием средств сигнализации осуществляется по ранее подписанному Приложению № 1. </w:t>
      </w:r>
    </w:p>
    <w:p>
      <w:pPr>
        <w:pStyle w:val="Normal"/>
        <w:jc w:val="both"/>
        <w:rPr>
          <w:highlight w:val="white"/>
        </w:rPr>
      </w:pPr>
      <w:r>
        <w:rPr>
          <w:sz w:val="22"/>
          <w:highlight w:val="white"/>
        </w:rPr>
        <w:tab/>
        <w:t xml:space="preserve">2.2. Оборудование объектов </w:t>
      </w:r>
      <w:r>
        <w:rPr>
          <w:b/>
          <w:sz w:val="22"/>
          <w:highlight w:val="white"/>
        </w:rPr>
        <w:t>КЛИЕНТА</w:t>
      </w:r>
      <w:r>
        <w:rPr>
          <w:sz w:val="22"/>
          <w:highlight w:val="white"/>
        </w:rPr>
        <w:t xml:space="preserve"> средствами охранно- пожарной сигнализации, а также последующий ремонт этих средств производится за счет </w:t>
      </w:r>
      <w:r>
        <w:rPr>
          <w:b/>
          <w:sz w:val="22"/>
          <w:highlight w:val="white"/>
        </w:rPr>
        <w:t>КЛИЕНТА</w:t>
      </w:r>
      <w:r>
        <w:rPr>
          <w:sz w:val="22"/>
          <w:highlight w:val="white"/>
        </w:rPr>
        <w:t>. По истечени</w:t>
      </w:r>
      <w:r>
        <w:rPr>
          <w:color w:val="000000"/>
          <w:sz w:val="22"/>
          <w:highlight w:val="white"/>
        </w:rPr>
        <w:t xml:space="preserve">и 8 лет </w:t>
      </w:r>
      <w:r>
        <w:rPr>
          <w:sz w:val="22"/>
          <w:highlight w:val="white"/>
        </w:rPr>
        <w:t xml:space="preserve">эксплуатации средств сигнализации они подлежат капитальному ремонту за счет </w:t>
      </w:r>
      <w:r>
        <w:rPr>
          <w:b/>
          <w:sz w:val="22"/>
          <w:highlight w:val="white"/>
        </w:rPr>
        <w:t>КЛИЕНТА</w:t>
      </w:r>
      <w:r>
        <w:rPr>
          <w:sz w:val="22"/>
          <w:highlight w:val="white"/>
        </w:rPr>
        <w:t>.</w:t>
      </w:r>
    </w:p>
    <w:p>
      <w:pPr>
        <w:pStyle w:val="Normal"/>
        <w:jc w:val="both"/>
        <w:rPr>
          <w:sz w:val="22"/>
        </w:rPr>
      </w:pPr>
      <w:r>
        <w:rPr>
          <w:sz w:val="22"/>
        </w:rPr>
        <w:tab/>
        <w:t xml:space="preserve">2.3. Ответственность </w:t>
      </w:r>
      <w:r>
        <w:rPr>
          <w:b/>
          <w:sz w:val="22"/>
        </w:rPr>
        <w:t>ОХРАНЫ</w:t>
      </w:r>
      <w:r>
        <w:rPr>
          <w:sz w:val="22"/>
        </w:rPr>
        <w:t xml:space="preserve"> за сохранность материальных ценностей на объекте настоящим Договором не предусматривается.</w:t>
      </w:r>
    </w:p>
    <w:p>
      <w:pPr>
        <w:pStyle w:val="Normal"/>
        <w:jc w:val="center"/>
        <w:rPr>
          <w:b/>
          <w:sz w:val="22"/>
        </w:rPr>
      </w:pPr>
      <w:r>
        <w:rPr>
          <w:b/>
          <w:sz w:val="22"/>
        </w:rPr>
      </w:r>
    </w:p>
    <w:p>
      <w:pPr>
        <w:pStyle w:val="Normal"/>
        <w:jc w:val="center"/>
        <w:rPr>
          <w:b/>
          <w:sz w:val="22"/>
        </w:rPr>
      </w:pPr>
      <w:r>
        <w:rPr>
          <w:b/>
          <w:sz w:val="22"/>
        </w:rPr>
      </w:r>
    </w:p>
    <w:p>
      <w:pPr>
        <w:pStyle w:val="Normal"/>
        <w:jc w:val="center"/>
        <w:rPr>
          <w:b/>
          <w:sz w:val="22"/>
        </w:rPr>
      </w:pPr>
      <w:r>
        <w:rPr>
          <w:b/>
          <w:sz w:val="22"/>
        </w:rPr>
      </w:r>
    </w:p>
    <w:p>
      <w:pPr>
        <w:pStyle w:val="Normal"/>
        <w:jc w:val="center"/>
        <w:rPr>
          <w:b/>
          <w:sz w:val="22"/>
        </w:rPr>
      </w:pPr>
      <w:r>
        <w:rPr>
          <w:b/>
          <w:sz w:val="22"/>
        </w:rPr>
        <w:t>3. ОБЯЗАННОСТИ ОХРАНЫ.</w:t>
      </w:r>
    </w:p>
    <w:p>
      <w:pPr>
        <w:pStyle w:val="Normal"/>
        <w:tabs>
          <w:tab w:val="clear" w:pos="720"/>
          <w:tab w:val="left" w:pos="0" w:leader="none"/>
        </w:tabs>
        <w:jc w:val="both"/>
        <w:rPr>
          <w:sz w:val="22"/>
        </w:rPr>
      </w:pPr>
      <w:r>
        <w:rPr>
          <w:sz w:val="22"/>
        </w:rPr>
        <w:tab/>
        <w:t xml:space="preserve">3.1. В дни и часы, предусмотренные прилагаемым к договору Приложением № 1, осуществлять контроль за техническим состоянием средств сигнализации, принятых от </w:t>
      </w:r>
      <w:r>
        <w:rPr>
          <w:b/>
          <w:sz w:val="22"/>
        </w:rPr>
        <w:t>КЛИЕНТА</w:t>
      </w:r>
      <w:r>
        <w:rPr>
          <w:sz w:val="22"/>
        </w:rPr>
        <w:t xml:space="preserve"> в установленном порядке (п.п. 4.8. – 4.10.), с помощью пульта централизованного наблюдения </w:t>
      </w:r>
      <w:r>
        <w:rPr>
          <w:b/>
          <w:sz w:val="22"/>
        </w:rPr>
        <w:t>ОХРАНЫ</w:t>
      </w:r>
      <w:r>
        <w:rPr>
          <w:sz w:val="22"/>
        </w:rPr>
        <w:t xml:space="preserve"> по беспроводному каналу </w:t>
      </w:r>
      <w:r>
        <w:rPr>
          <w:color w:val="000000"/>
          <w:sz w:val="22"/>
        </w:rPr>
        <w:t xml:space="preserve">связи GSM/GPRS, </w:t>
      </w:r>
      <w:r>
        <w:rPr>
          <w:sz w:val="22"/>
        </w:rPr>
        <w:t>при бесперебойном электроснабжении средств сигнализации на объекте.</w:t>
      </w:r>
    </w:p>
    <w:p>
      <w:pPr>
        <w:pStyle w:val="Normal"/>
        <w:tabs>
          <w:tab w:val="clear" w:pos="720"/>
          <w:tab w:val="left" w:pos="0" w:leader="none"/>
        </w:tabs>
        <w:jc w:val="both"/>
        <w:rPr>
          <w:sz w:val="22"/>
        </w:rPr>
      </w:pPr>
      <w:r>
        <w:rPr>
          <w:sz w:val="22"/>
        </w:rPr>
        <w:tab/>
      </w:r>
      <w:r>
        <w:rPr>
          <w:sz w:val="22"/>
          <w:highlight w:val="white"/>
        </w:rPr>
        <w:t xml:space="preserve">3.2. При срабатывании средств сигнализации обеспечить выяснение причин поступления сигнала. Вызвать </w:t>
      </w:r>
      <w:r>
        <w:rPr>
          <w:b/>
          <w:sz w:val="22"/>
          <w:highlight w:val="white"/>
        </w:rPr>
        <w:t>КЛИЕНТА</w:t>
      </w:r>
      <w:r>
        <w:rPr>
          <w:sz w:val="22"/>
          <w:highlight w:val="white"/>
        </w:rPr>
        <w:t xml:space="preserve"> на объект, информировав его по телефону, без предоставления транспорта. В случае отказа </w:t>
      </w:r>
      <w:r>
        <w:rPr>
          <w:b/>
          <w:sz w:val="22"/>
          <w:highlight w:val="white"/>
        </w:rPr>
        <w:t>КЛИЕНТА</w:t>
      </w:r>
      <w:r>
        <w:rPr>
          <w:sz w:val="22"/>
          <w:highlight w:val="white"/>
        </w:rPr>
        <w:t xml:space="preserve"> от прибытия на объект или отсутствия его на объекте, после уведомления – более одного часа, </w:t>
      </w:r>
      <w:r>
        <w:rPr>
          <w:b/>
          <w:sz w:val="22"/>
          <w:highlight w:val="white"/>
        </w:rPr>
        <w:t>ОХРАНА</w:t>
      </w:r>
      <w:r>
        <w:rPr>
          <w:sz w:val="22"/>
          <w:highlight w:val="white"/>
        </w:rPr>
        <w:t xml:space="preserve"> имеет право снимать пультовой наряд ВНГ России с объекта. Осмотр помещений объекта (необходимый для определения причины срабатывания средств сигнализации) производится </w:t>
      </w:r>
      <w:r>
        <w:rPr>
          <w:b/>
          <w:sz w:val="22"/>
          <w:highlight w:val="white"/>
        </w:rPr>
        <w:t>ОХРАНОЙ</w:t>
      </w:r>
      <w:r>
        <w:rPr>
          <w:sz w:val="22"/>
          <w:highlight w:val="white"/>
        </w:rPr>
        <w:t xml:space="preserve"> в присутствии </w:t>
      </w:r>
      <w:r>
        <w:rPr>
          <w:b/>
          <w:sz w:val="22"/>
          <w:highlight w:val="white"/>
        </w:rPr>
        <w:t>КЛИЕНТА</w:t>
      </w:r>
      <w:r>
        <w:rPr>
          <w:sz w:val="22"/>
          <w:highlight w:val="white"/>
        </w:rPr>
        <w:t xml:space="preserve"> или его представителя, ответственного за сдачу средств сигнализации на контроль (п. 4.2.).</w:t>
      </w:r>
    </w:p>
    <w:p>
      <w:pPr>
        <w:pStyle w:val="Normal"/>
        <w:tabs>
          <w:tab w:val="clear" w:pos="720"/>
          <w:tab w:val="left" w:pos="0" w:leader="none"/>
        </w:tabs>
        <w:jc w:val="both"/>
        <w:rPr/>
      </w:pPr>
      <w:r>
        <w:rPr>
          <w:sz w:val="22"/>
          <w:highlight w:val="white"/>
        </w:rPr>
        <w:tab/>
        <w:t>3.3. При невозможности осуществления охраны, подключенных на пульт централизованного наблюдения в установленном порядке, вызванной одним из обстоятельств: отключение электроэнергии, отсутств</w:t>
      </w:r>
      <w:r>
        <w:rPr>
          <w:color w:val="000000"/>
          <w:sz w:val="22"/>
          <w:highlight w:val="white"/>
        </w:rPr>
        <w:t xml:space="preserve">ие связи GSM/GPRS, </w:t>
      </w:r>
      <w:r>
        <w:rPr>
          <w:sz w:val="22"/>
          <w:highlight w:val="white"/>
        </w:rPr>
        <w:t xml:space="preserve">затопление, прорыв воды, пожар и т. п., </w:t>
      </w:r>
      <w:r>
        <w:rPr>
          <w:b/>
          <w:sz w:val="22"/>
          <w:highlight w:val="white"/>
        </w:rPr>
        <w:t>ОХРАНА</w:t>
      </w:r>
      <w:r>
        <w:rPr>
          <w:sz w:val="22"/>
          <w:highlight w:val="white"/>
        </w:rPr>
        <w:t xml:space="preserve"> по телефону уведомляет об этом </w:t>
      </w:r>
      <w:r>
        <w:rPr>
          <w:b/>
          <w:sz w:val="22"/>
          <w:highlight w:val="white"/>
        </w:rPr>
        <w:t>КЛИЕНТА</w:t>
      </w:r>
      <w:r>
        <w:rPr>
          <w:sz w:val="22"/>
          <w:highlight w:val="white"/>
        </w:rPr>
        <w:t xml:space="preserve"> или его представителя.</w:t>
      </w:r>
    </w:p>
    <w:p>
      <w:pPr>
        <w:pStyle w:val="Normal"/>
        <w:jc w:val="center"/>
        <w:rPr>
          <w:b/>
          <w:sz w:val="22"/>
        </w:rPr>
      </w:pPr>
      <w:r>
        <w:rPr>
          <w:b/>
          <w:sz w:val="22"/>
        </w:rPr>
      </w:r>
    </w:p>
    <w:p>
      <w:pPr>
        <w:pStyle w:val="Normal"/>
        <w:jc w:val="center"/>
        <w:rPr>
          <w:highlight w:val="white"/>
        </w:rPr>
      </w:pPr>
      <w:r>
        <w:rPr>
          <w:b/>
          <w:sz w:val="22"/>
          <w:highlight w:val="white"/>
        </w:rPr>
        <w:t>4. ОБЯЗАННОСТИ КЛИЕНТА.</w:t>
      </w:r>
    </w:p>
    <w:p>
      <w:pPr>
        <w:pStyle w:val="Normal"/>
        <w:jc w:val="center"/>
        <w:rPr>
          <w:b/>
          <w:sz w:val="22"/>
          <w:highlight w:val="white"/>
        </w:rPr>
      </w:pPr>
      <w:r>
        <w:rPr>
          <w:b/>
          <w:sz w:val="22"/>
          <w:highlight w:val="white"/>
        </w:rPr>
      </w:r>
    </w:p>
    <w:p>
      <w:pPr>
        <w:pStyle w:val="Normal"/>
        <w:jc w:val="both"/>
        <w:rPr>
          <w:highlight w:val="white"/>
        </w:rPr>
      </w:pPr>
      <w:r>
        <w:rPr>
          <w:sz w:val="22"/>
          <w:highlight w:val="white"/>
        </w:rPr>
        <w:tab/>
        <w:t>4.1.</w:t>
      </w:r>
      <w:r>
        <w:rPr>
          <w:b/>
          <w:sz w:val="22"/>
          <w:highlight w:val="white"/>
        </w:rPr>
        <w:t xml:space="preserve">КЛИЕНТ </w:t>
      </w:r>
      <w:r>
        <w:rPr>
          <w:sz w:val="22"/>
          <w:highlight w:val="white"/>
        </w:rPr>
        <w:t>обязан заключить договор на техническое обслуживание и капитальный ремонт технических средств охранно-пожарной сигнализации в соответствии с п. 1.3 настоящего договора.</w:t>
      </w:r>
      <w:r>
        <w:rPr>
          <w:b/>
          <w:sz w:val="22"/>
          <w:highlight w:val="white"/>
        </w:rPr>
        <w:t xml:space="preserve"> </w:t>
      </w:r>
    </w:p>
    <w:p>
      <w:pPr>
        <w:pStyle w:val="Normal"/>
        <w:jc w:val="both"/>
        <w:rPr>
          <w:highlight w:val="white"/>
        </w:rPr>
      </w:pPr>
      <w:r>
        <w:rPr>
          <w:sz w:val="22"/>
          <w:highlight w:val="white"/>
        </w:rPr>
        <w:tab/>
        <w:t xml:space="preserve">4.2. Обеспечить выделение и бесперебойное электроснабжение технических средств охраны. Оказывать содействие </w:t>
      </w:r>
      <w:r>
        <w:rPr>
          <w:b/>
          <w:sz w:val="22"/>
          <w:highlight w:val="white"/>
        </w:rPr>
        <w:t>ОХРАНЕ</w:t>
      </w:r>
      <w:r>
        <w:rPr>
          <w:sz w:val="22"/>
          <w:highlight w:val="white"/>
        </w:rPr>
        <w:t xml:space="preserve"> в выполнении им взятых обязательств. Обеспечить доступ сотрудников </w:t>
      </w:r>
      <w:r>
        <w:rPr>
          <w:b/>
          <w:sz w:val="22"/>
          <w:highlight w:val="white"/>
        </w:rPr>
        <w:t>ОХРАНЫ</w:t>
      </w:r>
      <w:r>
        <w:rPr>
          <w:sz w:val="22"/>
          <w:highlight w:val="white"/>
        </w:rPr>
        <w:t xml:space="preserve"> во все помещения для установления причин срабатывания.</w:t>
      </w:r>
    </w:p>
    <w:p>
      <w:pPr>
        <w:pStyle w:val="Normal"/>
        <w:jc w:val="both"/>
        <w:rPr>
          <w:sz w:val="24"/>
        </w:rPr>
      </w:pPr>
      <w:r>
        <w:rPr>
          <w:sz w:val="22"/>
          <w:highlight w:val="white"/>
        </w:rPr>
        <w:tab/>
      </w:r>
      <w:r>
        <w:rPr>
          <w:color w:val="000000"/>
          <w:sz w:val="22"/>
          <w:highlight w:val="white"/>
        </w:rPr>
        <w:t xml:space="preserve">4.3. Назначить представителей </w:t>
      </w:r>
      <w:r>
        <w:rPr>
          <w:b/>
          <w:color w:val="000000"/>
          <w:sz w:val="22"/>
          <w:highlight w:val="white"/>
        </w:rPr>
        <w:t>КЛИЕНТА</w:t>
      </w:r>
      <w:r>
        <w:rPr>
          <w:color w:val="000000"/>
          <w:sz w:val="22"/>
          <w:highlight w:val="white"/>
        </w:rPr>
        <w:t xml:space="preserve"> - лиц, ответственных за сдачу на контроль технического состояния средств сигнализац</w:t>
      </w:r>
      <w:r>
        <w:rPr>
          <w:color w:val="000000"/>
          <w:sz w:val="22"/>
        </w:rPr>
        <w:t xml:space="preserve">ии, а также лиц, подлежащих уведомлению в соответствии с п. 3.2. договора. Предоставить </w:t>
      </w:r>
      <w:r>
        <w:rPr>
          <w:b/>
          <w:color w:val="000000"/>
          <w:sz w:val="22"/>
        </w:rPr>
        <w:t>ОХРАНЕ</w:t>
      </w:r>
      <w:r>
        <w:rPr>
          <w:color w:val="000000"/>
          <w:sz w:val="22"/>
        </w:rPr>
        <w:t xml:space="preserve"> список этих лиц с указанием домашних адресов и телефон, а также письменно уведомлять обо всех изменениях данных сведений. В случаях, предусмотренных п.п. 3.2. 3.3. договора, </w:t>
      </w:r>
      <w:r>
        <w:rPr>
          <w:b/>
          <w:color w:val="000000"/>
          <w:sz w:val="22"/>
        </w:rPr>
        <w:t>КЛИЕНТ</w:t>
      </w:r>
      <w:r>
        <w:rPr>
          <w:color w:val="000000"/>
          <w:sz w:val="22"/>
        </w:rPr>
        <w:t xml:space="preserve"> или его представитель по требованию представителя </w:t>
      </w:r>
      <w:r>
        <w:rPr>
          <w:b/>
          <w:color w:val="000000"/>
          <w:sz w:val="22"/>
        </w:rPr>
        <w:t>ОХРАНЫ</w:t>
      </w:r>
      <w:r>
        <w:rPr>
          <w:color w:val="000000"/>
          <w:sz w:val="22"/>
        </w:rPr>
        <w:t xml:space="preserve"> прибывает на объект, в течение одного </w:t>
      </w:r>
      <w:r>
        <w:rPr>
          <w:color w:val="000000"/>
          <w:sz w:val="22"/>
          <w:highlight w:val="white"/>
        </w:rPr>
        <w:t xml:space="preserve">часа после его уведомления по телефону, для принятия по согласованию с </w:t>
      </w:r>
      <w:r>
        <w:rPr>
          <w:b/>
          <w:color w:val="000000"/>
          <w:sz w:val="22"/>
          <w:highlight w:val="white"/>
        </w:rPr>
        <w:t>ОХРАНОЙ</w:t>
      </w:r>
      <w:r>
        <w:rPr>
          <w:color w:val="000000"/>
          <w:sz w:val="22"/>
          <w:highlight w:val="white"/>
        </w:rPr>
        <w:t xml:space="preserve"> соответствующих мер. В случаи неприбытия представителя КЛИЕНТА – лиц, ответственных за сдачу на контроль технического состояния средств сигнализации на объект, ОХРАНА в праве при возможности осуществлять физическую охрану данного объекта до прибытия представителя КЛИЕНТА, после чего КЛИЕНТ производит оплату в соответствии с п.5.4 настоящего договора. Начисления суммы за выставления физической охраны на объект Клиента, ОХРАНОЙ производится после 1 часа с момента прибытия на объект, исходя из фактического времени </w:t>
      </w:r>
      <w:r>
        <w:rPr>
          <w:b/>
          <w:color w:val="000000"/>
          <w:sz w:val="22"/>
          <w:highlight w:val="white"/>
        </w:rPr>
        <w:t>физической охраны,</w:t>
      </w:r>
      <w:r>
        <w:rPr>
          <w:color w:val="000000"/>
          <w:sz w:val="22"/>
          <w:highlight w:val="white"/>
        </w:rPr>
        <w:t xml:space="preserve"> исчисленной пропорционально стоимости одного часа, согласно действующего на тот момент тарифа.</w:t>
      </w:r>
    </w:p>
    <w:p>
      <w:pPr>
        <w:pStyle w:val="Normal"/>
        <w:jc w:val="both"/>
        <w:rPr>
          <w:sz w:val="22"/>
        </w:rPr>
      </w:pPr>
      <w:r>
        <w:rPr>
          <w:color w:val="000000"/>
          <w:sz w:val="22"/>
          <w:highlight w:val="white"/>
        </w:rPr>
        <w:tab/>
        <w:t>4.4. О недостатках и нарушениях работоспособности средств сигнализации ставит</w:t>
      </w:r>
      <w:r>
        <w:rPr>
          <w:sz w:val="22"/>
          <w:highlight w:val="white"/>
        </w:rPr>
        <w:t xml:space="preserve">ь в известность </w:t>
      </w:r>
      <w:r>
        <w:rPr>
          <w:b/>
          <w:sz w:val="22"/>
          <w:highlight w:val="white"/>
        </w:rPr>
        <w:t>ОХРАНУ</w:t>
      </w:r>
      <w:r>
        <w:rPr>
          <w:sz w:val="22"/>
          <w:highlight w:val="white"/>
        </w:rPr>
        <w:t xml:space="preserve"> и обслуживающую организацию. Сообщать </w:t>
      </w:r>
      <w:r>
        <w:rPr>
          <w:b/>
          <w:sz w:val="22"/>
          <w:highlight w:val="white"/>
        </w:rPr>
        <w:t>ОХРАН</w:t>
      </w:r>
      <w:r>
        <w:rPr>
          <w:b/>
          <w:sz w:val="22"/>
        </w:rPr>
        <w:t>Е</w:t>
      </w:r>
      <w:r>
        <w:rPr>
          <w:sz w:val="22"/>
        </w:rPr>
        <w:t xml:space="preserve"> за 10 дней о проведении ремонтных работах, переоборудовании помещений и о других мероприятиях, вследствие которых может быть нарушена работоспособность средств сигнализации, для принятия по согласованию с </w:t>
      </w:r>
      <w:r>
        <w:rPr>
          <w:b/>
          <w:sz w:val="22"/>
        </w:rPr>
        <w:t>ОХРАНОЙ</w:t>
      </w:r>
      <w:r>
        <w:rPr>
          <w:sz w:val="22"/>
        </w:rPr>
        <w:t xml:space="preserve"> соответствующих мер.</w:t>
      </w:r>
    </w:p>
    <w:p>
      <w:pPr>
        <w:pStyle w:val="Normal"/>
        <w:jc w:val="both"/>
        <w:rPr>
          <w:sz w:val="22"/>
        </w:rPr>
      </w:pPr>
      <w:r>
        <w:rPr>
          <w:sz w:val="22"/>
        </w:rPr>
        <w:t xml:space="preserve">        </w:t>
      </w:r>
      <w:r>
        <w:rPr>
          <w:sz w:val="22"/>
        </w:rPr>
        <w:t xml:space="preserve">Не вносить изменений в схему блокировки объекта, не производить замену, переустановку средств сигнализации без согласования с </w:t>
      </w:r>
      <w:r>
        <w:rPr>
          <w:b/>
          <w:sz w:val="22"/>
        </w:rPr>
        <w:t>ОХРАНОЙ</w:t>
      </w:r>
      <w:r>
        <w:rPr>
          <w:sz w:val="22"/>
        </w:rPr>
        <w:t>. Исключить вмешательство в работоспособность системы сигнализации посторонних лиц.</w:t>
      </w:r>
    </w:p>
    <w:p>
      <w:pPr>
        <w:pStyle w:val="Normal"/>
        <w:jc w:val="both"/>
        <w:rPr>
          <w:sz w:val="22"/>
        </w:rPr>
      </w:pPr>
      <w:r>
        <w:rPr>
          <w:sz w:val="22"/>
        </w:rPr>
        <w:tab/>
        <w:t xml:space="preserve">4.5. В 3-дневный срок после получения письменного уведомления оплатить </w:t>
      </w:r>
      <w:r>
        <w:rPr>
          <w:b/>
          <w:sz w:val="22"/>
        </w:rPr>
        <w:t>ОХРАНЕ</w:t>
      </w:r>
      <w:r>
        <w:rPr>
          <w:sz w:val="22"/>
        </w:rPr>
        <w:t xml:space="preserve"> понесённые расходы сверх установленной в Приложение № 1 суммы оплаты:</w:t>
      </w:r>
    </w:p>
    <w:p>
      <w:pPr>
        <w:pStyle w:val="Normal"/>
        <w:jc w:val="both"/>
        <w:rPr>
          <w:sz w:val="22"/>
        </w:rPr>
      </w:pPr>
      <w:r>
        <w:rPr>
          <w:sz w:val="22"/>
        </w:rPr>
        <w:t>- связанные с превышением указанного в Приложение № 1 количества часов осуществления контроля за техническим состоянием средств сигнализации - по действующему тарифу;</w:t>
      </w:r>
    </w:p>
    <w:p>
      <w:pPr>
        <w:pStyle w:val="Normal"/>
        <w:jc w:val="both"/>
        <w:rPr>
          <w:sz w:val="22"/>
        </w:rPr>
      </w:pPr>
      <w:r>
        <w:rPr>
          <w:sz w:val="22"/>
        </w:rPr>
        <w:t xml:space="preserve">- по выяснению причин сигнала о неисправности сигнализации, поступившего по причине некачественного обеспечения электроэнергией, если </w:t>
      </w:r>
      <w:r>
        <w:rPr>
          <w:b/>
          <w:sz w:val="22"/>
        </w:rPr>
        <w:t>КЛИЕНТОМ</w:t>
      </w:r>
      <w:r>
        <w:rPr>
          <w:sz w:val="22"/>
        </w:rPr>
        <w:t xml:space="preserve"> не решён вопрос установки или ремонта источника бесперебойного питания для средств сигнализации - в размере действующих компенсационных тарифов.</w:t>
      </w:r>
    </w:p>
    <w:p>
      <w:pPr>
        <w:pStyle w:val="Normal"/>
        <w:jc w:val="both"/>
        <w:rPr>
          <w:sz w:val="22"/>
        </w:rPr>
      </w:pPr>
      <w:r>
        <w:rPr>
          <w:sz w:val="22"/>
        </w:rPr>
        <w:t xml:space="preserve">- по задействованию личного состава и транспорта </w:t>
      </w:r>
      <w:r>
        <w:rPr>
          <w:b/>
          <w:sz w:val="22"/>
        </w:rPr>
        <w:t>ОХРАНЫ</w:t>
      </w:r>
      <w:r>
        <w:rPr>
          <w:sz w:val="22"/>
        </w:rPr>
        <w:t xml:space="preserve"> в случаях, когда при сдаче ответственным лицом средств сигнализации на контроль их технического состояния по окончании рабочего дня были нарушены п. 4.6. - 4.11. настоящего договора – в размере действующих компенсационных тарифов.</w:t>
      </w:r>
    </w:p>
    <w:p>
      <w:pPr>
        <w:pStyle w:val="Normal"/>
        <w:jc w:val="both"/>
        <w:rPr>
          <w:sz w:val="22"/>
        </w:rPr>
      </w:pPr>
      <w:r>
        <w:rPr>
          <w:sz w:val="22"/>
        </w:rPr>
        <w:tab/>
        <w:t xml:space="preserve">4.6. Сообщать </w:t>
      </w:r>
      <w:r>
        <w:rPr>
          <w:b/>
          <w:sz w:val="22"/>
        </w:rPr>
        <w:t>ОХРАНЕ</w:t>
      </w:r>
      <w:r>
        <w:rPr>
          <w:sz w:val="22"/>
        </w:rPr>
        <w:t xml:space="preserve"> об устранении причин, препятствующих выполнению ей своих обязательств</w:t>
      </w:r>
      <w:r>
        <w:rPr>
          <w:sz w:val="22"/>
          <w:highlight w:val="white"/>
        </w:rPr>
        <w:t xml:space="preserve"> (п. 3.3.), с составлением соответствующего двустороннего акта, для продолжения действия договора.</w:t>
      </w:r>
    </w:p>
    <w:p>
      <w:pPr>
        <w:pStyle w:val="Normal"/>
        <w:jc w:val="both"/>
        <w:rPr>
          <w:highlight w:val="white"/>
        </w:rPr>
      </w:pPr>
      <w:r>
        <w:rPr>
          <w:sz w:val="22"/>
          <w:highlight w:val="white"/>
        </w:rPr>
        <w:tab/>
        <w:t xml:space="preserve">4.7. Обеспечить конфиденциальность сведений о виде и способах блокировки техническими средствами, установленными на объекте, действующем тарифе. Ставить в известность </w:t>
      </w:r>
      <w:r>
        <w:rPr>
          <w:b/>
          <w:sz w:val="22"/>
          <w:highlight w:val="white"/>
        </w:rPr>
        <w:t>ОХРАНУ</w:t>
      </w:r>
      <w:r>
        <w:rPr>
          <w:sz w:val="22"/>
          <w:highlight w:val="white"/>
        </w:rPr>
        <w:t xml:space="preserve"> о сдаче помещений объекта в аренду, передаче объекта в собственность другим юридическим или физическим лицам.</w:t>
      </w:r>
    </w:p>
    <w:p>
      <w:pPr>
        <w:pStyle w:val="Normal"/>
        <w:jc w:val="both"/>
        <w:rPr>
          <w:highlight w:val="white"/>
        </w:rPr>
      </w:pPr>
      <w:r>
        <w:rPr>
          <w:sz w:val="22"/>
          <w:highlight w:val="white"/>
        </w:rPr>
        <w:tab/>
        <w:t xml:space="preserve">4.8. Перед сдачей средств сигнализации на контроль по окончании рабочего дня проверить целостность стёкол, витрин, стен, дверей и других строительных конструкций, при обнаружении недостатков сообщить об этом </w:t>
      </w:r>
      <w:r>
        <w:rPr>
          <w:b/>
          <w:sz w:val="22"/>
          <w:highlight w:val="white"/>
        </w:rPr>
        <w:t>ОХРАНЕ</w:t>
      </w:r>
      <w:r>
        <w:rPr>
          <w:sz w:val="22"/>
          <w:highlight w:val="white"/>
        </w:rPr>
        <w:t xml:space="preserve"> по телефону. Исключить случаи нахождения в помещениях в нерабочее время посторонних лиц и источников огня.</w:t>
      </w:r>
    </w:p>
    <w:p>
      <w:pPr>
        <w:pStyle w:val="Normal"/>
        <w:jc w:val="both"/>
        <w:rPr>
          <w:highlight w:val="white"/>
        </w:rPr>
      </w:pPr>
      <w:r>
        <w:rPr>
          <w:sz w:val="22"/>
          <w:highlight w:val="white"/>
        </w:rPr>
        <w:tab/>
        <w:t>4.9. Закрывать на замки наружные двери помещений. Запирать снаружи на навесные замки помимо внутренних запоров двери запасных выходов, наружные двери.</w:t>
      </w:r>
    </w:p>
    <w:p>
      <w:pPr>
        <w:pStyle w:val="Normal"/>
        <w:jc w:val="both"/>
        <w:rPr>
          <w:highlight w:val="white"/>
        </w:rPr>
      </w:pPr>
      <w:r>
        <w:rPr>
          <w:sz w:val="22"/>
          <w:highlight w:val="white"/>
        </w:rPr>
        <w:tab/>
        <w:t xml:space="preserve">4.10. </w:t>
      </w:r>
      <w:r>
        <w:rPr>
          <w:b/>
          <w:sz w:val="22"/>
          <w:highlight w:val="white"/>
        </w:rPr>
        <w:t>КЛИЕНТ</w:t>
      </w:r>
      <w:r>
        <w:rPr>
          <w:sz w:val="22"/>
          <w:highlight w:val="white"/>
        </w:rPr>
        <w:t xml:space="preserve"> осуществляет сдачу (снятие) средств сигнализации, которые установлены на объектах и перечисленные в Приложение № 1, в указанное время и в соответствии с Инструкцией о порядке пользования средствами охранно-пожарной сигнализации (Приложение № 2).</w:t>
      </w:r>
    </w:p>
    <w:p>
      <w:pPr>
        <w:pStyle w:val="Normal"/>
        <w:jc w:val="both"/>
        <w:rPr>
          <w:highlight w:val="white"/>
        </w:rPr>
      </w:pPr>
      <w:r>
        <w:rPr>
          <w:sz w:val="22"/>
          <w:highlight w:val="white"/>
        </w:rPr>
        <w:tab/>
        <w:t xml:space="preserve">4.11. В случае неисправности сигнализации немедленно уведомить об этом </w:t>
      </w:r>
      <w:r>
        <w:rPr>
          <w:b/>
          <w:sz w:val="22"/>
          <w:highlight w:val="white"/>
        </w:rPr>
        <w:t>ОХРАНУ</w:t>
      </w:r>
      <w:r>
        <w:rPr>
          <w:sz w:val="22"/>
          <w:highlight w:val="white"/>
        </w:rPr>
        <w:t xml:space="preserve">, обслуживающую организацию и не покидать объект до принятия по согласованию с </w:t>
      </w:r>
      <w:r>
        <w:rPr>
          <w:b/>
          <w:sz w:val="22"/>
          <w:highlight w:val="white"/>
        </w:rPr>
        <w:t>ОХРАНОЙ</w:t>
      </w:r>
      <w:r>
        <w:rPr>
          <w:sz w:val="22"/>
          <w:highlight w:val="white"/>
        </w:rPr>
        <w:t xml:space="preserve"> соответствующих мер.</w:t>
      </w:r>
    </w:p>
    <w:p>
      <w:pPr>
        <w:pStyle w:val="Normal"/>
        <w:jc w:val="both"/>
        <w:rPr>
          <w:highlight w:val="white"/>
        </w:rPr>
      </w:pPr>
      <w:r>
        <w:rPr>
          <w:color w:val="FF0000"/>
          <w:sz w:val="24"/>
          <w:highlight w:val="white"/>
        </w:rPr>
        <w:tab/>
      </w:r>
      <w:r>
        <w:rPr>
          <w:color w:val="000000"/>
          <w:sz w:val="22"/>
          <w:highlight w:val="white"/>
        </w:rPr>
        <w:t>4.12. Предоставить «Обслуживающей организации» две SIM- карты разных операторов сотовой связи с балансом не менее 150 рублей на каждой, с указанием телефонных номеров.</w:t>
      </w:r>
    </w:p>
    <w:p>
      <w:pPr>
        <w:pStyle w:val="Normal"/>
        <w:jc w:val="both"/>
        <w:rPr>
          <w:color w:val="000000"/>
        </w:rPr>
      </w:pPr>
      <w:r>
        <w:rPr>
          <w:color w:val="000000"/>
          <w:sz w:val="22"/>
          <w:highlight w:val="white"/>
        </w:rPr>
        <w:tab/>
        <w:t>4.13. Поддерживать положительный баланс на SIM – картах не менее 50</w:t>
      </w:r>
      <w:r>
        <w:rPr>
          <w:color w:val="000000"/>
          <w:sz w:val="22"/>
        </w:rPr>
        <w:t xml:space="preserve"> рублей на каждой</w:t>
      </w:r>
    </w:p>
    <w:p>
      <w:pPr>
        <w:pStyle w:val="Normal"/>
        <w:jc w:val="both"/>
        <w:rPr>
          <w:color w:val="FF0000"/>
        </w:rPr>
      </w:pPr>
      <w:r>
        <w:rPr>
          <w:color w:val="FF0000"/>
        </w:rPr>
      </w:r>
    </w:p>
    <w:p>
      <w:pPr>
        <w:pStyle w:val="Normal"/>
        <w:jc w:val="center"/>
        <w:rPr>
          <w:b/>
          <w:sz w:val="22"/>
        </w:rPr>
      </w:pPr>
      <w:r>
        <w:rPr>
          <w:b/>
          <w:sz w:val="22"/>
        </w:rPr>
        <w:t>5.  СУММА ДОГОВОРА И ПОРЯДОК РАСЧЕТОВ.</w:t>
      </w:r>
    </w:p>
    <w:p>
      <w:pPr>
        <w:pStyle w:val="Normal"/>
        <w:jc w:val="center"/>
        <w:rPr>
          <w:b/>
          <w:sz w:val="22"/>
        </w:rPr>
      </w:pPr>
      <w:r>
        <w:rPr>
          <w:b/>
          <w:sz w:val="22"/>
        </w:rPr>
      </w:r>
    </w:p>
    <w:p>
      <w:pPr>
        <w:pStyle w:val="Normal"/>
        <w:jc w:val="both"/>
        <w:rPr>
          <w:color w:val="FF0000"/>
          <w:sz w:val="22"/>
        </w:rPr>
      </w:pPr>
      <w:r>
        <w:rPr>
          <w:sz w:val="22"/>
        </w:rPr>
        <w:tab/>
        <w:t xml:space="preserve">5.1. Сумма договора в месяц определяется в зависимости от количества и категорий охраняемых объектов, а также времени их охраны и указываются в Перечне услуг «Охраны» Приложение № 1, которое является неотъемлемой частью договора. </w:t>
      </w:r>
    </w:p>
    <w:p>
      <w:pPr>
        <w:pStyle w:val="Normal"/>
        <w:tabs>
          <w:tab w:val="clear" w:pos="720"/>
          <w:tab w:val="left" w:pos="0" w:leader="none"/>
        </w:tabs>
        <w:jc w:val="both"/>
        <w:rPr>
          <w:sz w:val="22"/>
        </w:rPr>
      </w:pPr>
      <w:r>
        <w:rPr>
          <w:sz w:val="22"/>
        </w:rPr>
        <w:tab/>
        <w:t xml:space="preserve">5.2. Оплата за услуги, предоставляемые за охрану по настоящему договору производится ежемесячно, путем перечисления </w:t>
      </w:r>
      <w:r>
        <w:rPr>
          <w:b/>
          <w:sz w:val="22"/>
        </w:rPr>
        <w:t>КЛИЕНТОМ</w:t>
      </w:r>
      <w:r>
        <w:rPr>
          <w:sz w:val="22"/>
        </w:rPr>
        <w:t xml:space="preserve"> денежной суммы в соответствии с пунктом 5.1. настоящего договора на расчетный счет </w:t>
      </w:r>
      <w:r>
        <w:rPr>
          <w:b/>
          <w:color w:val="000000"/>
          <w:sz w:val="22"/>
        </w:rPr>
        <w:t>ОХРАНЫ</w:t>
      </w:r>
      <w:r>
        <w:rPr>
          <w:color w:val="000000"/>
          <w:sz w:val="22"/>
        </w:rPr>
        <w:t xml:space="preserve"> до 20 числа текущего </w:t>
      </w:r>
      <w:r>
        <w:rPr>
          <w:sz w:val="22"/>
        </w:rPr>
        <w:t>месяца на основании выставленного счет</w:t>
      </w:r>
      <w:r>
        <w:rPr>
          <w:color w:val="000000"/>
          <w:sz w:val="22"/>
        </w:rPr>
        <w:t>а. В случае неоплаты в установленные сроки, Клиенту направляются уведомление, по истечении 10 (десяти) дней действие договора приостанавливается, средства сигнализации снимаются с охраны.</w:t>
      </w:r>
    </w:p>
    <w:p>
      <w:pPr>
        <w:pStyle w:val="Normal"/>
        <w:jc w:val="both"/>
        <w:rPr>
          <w:sz w:val="22"/>
        </w:rPr>
      </w:pPr>
      <w:r>
        <w:rPr>
          <w:sz w:val="22"/>
        </w:rPr>
        <w:tab/>
        <w:t xml:space="preserve">5.3. Оплата услуг по настоящему договору сверх времени, установленного Приложением № 1, производится </w:t>
      </w:r>
      <w:r>
        <w:rPr>
          <w:b/>
          <w:sz w:val="22"/>
        </w:rPr>
        <w:t>КЛИЕНТОМ</w:t>
      </w:r>
      <w:r>
        <w:rPr>
          <w:sz w:val="22"/>
        </w:rPr>
        <w:t xml:space="preserve"> на основании счетов, выставляемых </w:t>
      </w:r>
      <w:r>
        <w:rPr>
          <w:b/>
          <w:sz w:val="22"/>
        </w:rPr>
        <w:t>ОХРАНОЙ</w:t>
      </w:r>
      <w:r>
        <w:rPr>
          <w:sz w:val="22"/>
        </w:rPr>
        <w:t xml:space="preserve"> в течение 5 банковских дней со дня получения счета. </w:t>
      </w:r>
    </w:p>
    <w:p>
      <w:pPr>
        <w:pStyle w:val="Normal"/>
        <w:jc w:val="both"/>
        <w:rPr>
          <w:sz w:val="22"/>
        </w:rPr>
      </w:pPr>
      <w:r>
        <w:rPr>
          <w:sz w:val="22"/>
        </w:rPr>
        <w:tab/>
        <w:t xml:space="preserve">5.4. Оплата за услуги, оказанные </w:t>
      </w:r>
      <w:r>
        <w:rPr>
          <w:b/>
          <w:sz w:val="22"/>
        </w:rPr>
        <w:t>ОХРАНОЙ</w:t>
      </w:r>
      <w:r>
        <w:rPr>
          <w:sz w:val="22"/>
        </w:rPr>
        <w:t>, связанные с выставлением физической охраны на объекты, производи</w:t>
      </w:r>
      <w:r>
        <w:rPr>
          <w:sz w:val="22"/>
          <w:highlight w:val="white"/>
        </w:rPr>
        <w:t xml:space="preserve">тся на основании счетов </w:t>
      </w:r>
      <w:r>
        <w:rPr>
          <w:b/>
          <w:sz w:val="22"/>
          <w:highlight w:val="white"/>
        </w:rPr>
        <w:t>ОХРАНЫ</w:t>
      </w:r>
      <w:r>
        <w:rPr>
          <w:sz w:val="22"/>
          <w:highlight w:val="white"/>
        </w:rPr>
        <w:t xml:space="preserve"> в течение 5 банковских дней со дня получения счета.  </w:t>
      </w:r>
    </w:p>
    <w:p>
      <w:pPr>
        <w:pStyle w:val="Normal"/>
        <w:jc w:val="both"/>
        <w:rPr>
          <w:highlight w:val="white"/>
        </w:rPr>
      </w:pPr>
      <w:r>
        <w:rPr>
          <w:sz w:val="22"/>
          <w:highlight w:val="white"/>
        </w:rPr>
        <w:tab/>
        <w:t xml:space="preserve">5.5. Сумма договора может быть изменена </w:t>
      </w:r>
      <w:r>
        <w:rPr>
          <w:b/>
          <w:sz w:val="22"/>
          <w:highlight w:val="white"/>
        </w:rPr>
        <w:t>ОХРАНОЙ</w:t>
      </w:r>
      <w:r>
        <w:rPr>
          <w:sz w:val="22"/>
          <w:highlight w:val="white"/>
        </w:rPr>
        <w:t xml:space="preserve">, в связи с изменением тарифов на охранные услуги и на основании действующего законодательства. Если по истечению 10 дней с момента письменного уведомления </w:t>
      </w:r>
      <w:r>
        <w:rPr>
          <w:b/>
          <w:sz w:val="22"/>
          <w:highlight w:val="white"/>
        </w:rPr>
        <w:t>ОХРАНОЙ КЛИЕНТА</w:t>
      </w:r>
      <w:r>
        <w:rPr>
          <w:sz w:val="22"/>
          <w:highlight w:val="white"/>
        </w:rPr>
        <w:t xml:space="preserve"> об изменении тарифов </w:t>
      </w:r>
      <w:r>
        <w:rPr>
          <w:b/>
          <w:sz w:val="22"/>
          <w:highlight w:val="white"/>
        </w:rPr>
        <w:t>КЛИЕНТ</w:t>
      </w:r>
      <w:r>
        <w:rPr>
          <w:sz w:val="22"/>
          <w:highlight w:val="white"/>
        </w:rPr>
        <w:t xml:space="preserve"> продолжает пользоваться услугами, предоставляемыми </w:t>
      </w:r>
      <w:r>
        <w:rPr>
          <w:b/>
          <w:sz w:val="22"/>
          <w:highlight w:val="white"/>
        </w:rPr>
        <w:t>ОХРАНОЙ</w:t>
      </w:r>
      <w:r>
        <w:rPr>
          <w:sz w:val="22"/>
          <w:highlight w:val="white"/>
        </w:rPr>
        <w:t xml:space="preserve"> в соответствии с настоящим договором, то новый тариф автоматически считается принятым </w:t>
      </w:r>
      <w:r>
        <w:rPr>
          <w:b/>
          <w:sz w:val="22"/>
          <w:highlight w:val="white"/>
        </w:rPr>
        <w:t>КЛИЕНТОМ</w:t>
      </w:r>
      <w:r>
        <w:rPr>
          <w:sz w:val="22"/>
          <w:highlight w:val="white"/>
        </w:rPr>
        <w:t>.</w:t>
      </w:r>
    </w:p>
    <w:p>
      <w:pPr>
        <w:pStyle w:val="Normal"/>
        <w:jc w:val="both"/>
        <w:rPr>
          <w:highlight w:val="white"/>
        </w:rPr>
      </w:pPr>
      <w:r>
        <w:rPr>
          <w:sz w:val="22"/>
          <w:highlight w:val="white"/>
        </w:rPr>
        <w:tab/>
        <w:t xml:space="preserve">5.6. Отказ </w:t>
      </w:r>
      <w:r>
        <w:rPr>
          <w:b/>
          <w:sz w:val="22"/>
          <w:highlight w:val="white"/>
        </w:rPr>
        <w:t>КЛИЕНТА</w:t>
      </w:r>
      <w:r>
        <w:rPr>
          <w:sz w:val="22"/>
          <w:highlight w:val="white"/>
        </w:rPr>
        <w:t xml:space="preserve"> от оплаты услуг </w:t>
      </w:r>
      <w:r>
        <w:rPr>
          <w:b/>
          <w:sz w:val="22"/>
          <w:highlight w:val="white"/>
        </w:rPr>
        <w:t>ОХРАНЫ</w:t>
      </w:r>
      <w:r>
        <w:rPr>
          <w:sz w:val="22"/>
          <w:highlight w:val="white"/>
        </w:rPr>
        <w:t xml:space="preserve"> по новым тарифам является основанием к расторжению </w:t>
      </w:r>
      <w:r>
        <w:rPr>
          <w:b/>
          <w:sz w:val="22"/>
          <w:highlight w:val="white"/>
        </w:rPr>
        <w:t>ОХРАНОЙ</w:t>
      </w:r>
      <w:r>
        <w:rPr>
          <w:sz w:val="22"/>
          <w:highlight w:val="white"/>
        </w:rPr>
        <w:t xml:space="preserve"> договора в одностороннем порядке, с уведомлением </w:t>
      </w:r>
      <w:r>
        <w:rPr>
          <w:b/>
          <w:sz w:val="22"/>
          <w:highlight w:val="white"/>
        </w:rPr>
        <w:t>КЛИЕНТА</w:t>
      </w:r>
      <w:r>
        <w:rPr>
          <w:sz w:val="22"/>
          <w:highlight w:val="white"/>
        </w:rPr>
        <w:t xml:space="preserve"> за 3 дня.</w:t>
      </w:r>
    </w:p>
    <w:p>
      <w:pPr>
        <w:pStyle w:val="Normal"/>
        <w:jc w:val="both"/>
        <w:rPr>
          <w:highlight w:val="white"/>
        </w:rPr>
      </w:pPr>
      <w:r>
        <w:rPr>
          <w:color w:val="FF0000"/>
          <w:sz w:val="22"/>
          <w:highlight w:val="white"/>
        </w:rPr>
        <w:tab/>
      </w:r>
      <w:r>
        <w:rPr>
          <w:color w:val="000000"/>
          <w:sz w:val="22"/>
          <w:highlight w:val="white"/>
        </w:rPr>
        <w:t>5.7. За каждый ложный вызов наряда ВНГ России по сигналу «тревога» по вине «Клиента», последний уплачивает «Охране» расходы в размере тарифов, утвержденных приказом начальника ФГКУ «ОВО ВНГ России по Астраханской области» и действующих на день их применения</w:t>
      </w:r>
    </w:p>
    <w:p>
      <w:pPr>
        <w:pStyle w:val="Normal"/>
        <w:jc w:val="both"/>
        <w:rPr>
          <w:color w:val="000000"/>
          <w:sz w:val="22"/>
          <w:highlight w:val="white"/>
        </w:rPr>
      </w:pPr>
      <w:r>
        <w:rPr>
          <w:color w:val="000000"/>
          <w:sz w:val="22"/>
          <w:highlight w:val="white"/>
        </w:rPr>
      </w:r>
    </w:p>
    <w:p>
      <w:pPr>
        <w:pStyle w:val="Normal"/>
        <w:jc w:val="center"/>
        <w:rPr>
          <w:highlight w:val="white"/>
        </w:rPr>
      </w:pPr>
      <w:r>
        <w:rPr>
          <w:b/>
          <w:sz w:val="22"/>
          <w:highlight w:val="white"/>
        </w:rPr>
        <w:t>6. ДОПОЛНИТЕЛЬНЫЕ УСЛОВИЯ.</w:t>
      </w:r>
    </w:p>
    <w:p>
      <w:pPr>
        <w:pStyle w:val="Normal"/>
        <w:jc w:val="both"/>
        <w:rPr>
          <w:sz w:val="22"/>
          <w:highlight w:val="white"/>
        </w:rPr>
      </w:pPr>
      <w:r>
        <w:rPr>
          <w:sz w:val="22"/>
          <w:highlight w:val="white"/>
        </w:rPr>
      </w:r>
    </w:p>
    <w:p>
      <w:pPr>
        <w:pStyle w:val="Normal"/>
        <w:jc w:val="both"/>
        <w:rPr>
          <w:sz w:val="22"/>
        </w:rPr>
      </w:pPr>
      <w:r>
        <w:rPr>
          <w:sz w:val="22"/>
        </w:rPr>
        <w:tab/>
        <w:t>6.1. За ненадлежащее вы</w:t>
      </w:r>
      <w:r>
        <w:rPr>
          <w:sz w:val="22"/>
          <w:highlight w:val="white"/>
        </w:rPr>
        <w:t>полнение своих обязательств по данному договору стороны несут ответственность в соответствии с действующим законодательством РФ.</w:t>
      </w:r>
    </w:p>
    <w:p>
      <w:pPr>
        <w:pStyle w:val="Normal"/>
        <w:jc w:val="both"/>
        <w:rPr>
          <w:highlight w:val="white"/>
        </w:rPr>
      </w:pPr>
      <w:r>
        <w:rPr>
          <w:sz w:val="22"/>
          <w:highlight w:val="white"/>
        </w:rPr>
        <w:tab/>
        <w:t xml:space="preserve">6.2. </w:t>
      </w:r>
      <w:r>
        <w:rPr>
          <w:b/>
          <w:sz w:val="22"/>
          <w:highlight w:val="white"/>
        </w:rPr>
        <w:t>ОХРАНА</w:t>
      </w:r>
      <w:r>
        <w:rPr>
          <w:sz w:val="22"/>
          <w:highlight w:val="white"/>
        </w:rPr>
        <w:t xml:space="preserve"> не несет ответственности за качество охраны объекта, в случаях производства ремонтных и аварийных работ на электропитающих линиях </w:t>
      </w:r>
      <w:r>
        <w:rPr>
          <w:color w:val="000000"/>
          <w:sz w:val="22"/>
          <w:szCs w:val="22"/>
          <w:highlight w:val="white"/>
        </w:rPr>
        <w:t xml:space="preserve">и отсутствии связи по каналу </w:t>
      </w:r>
      <w:r>
        <w:rPr>
          <w:color w:val="000000"/>
          <w:sz w:val="22"/>
          <w:szCs w:val="22"/>
          <w:highlight w:val="white"/>
          <w:lang w:val="en-US"/>
        </w:rPr>
        <w:t>GSM</w:t>
      </w:r>
      <w:r>
        <w:rPr>
          <w:color w:val="000000"/>
          <w:sz w:val="22"/>
          <w:szCs w:val="22"/>
          <w:highlight w:val="white"/>
        </w:rPr>
        <w:t>/</w:t>
      </w:r>
      <w:r>
        <w:rPr>
          <w:color w:val="000000"/>
          <w:sz w:val="22"/>
          <w:szCs w:val="22"/>
          <w:highlight w:val="white"/>
          <w:lang w:val="en-US"/>
        </w:rPr>
        <w:t>GPRS</w:t>
      </w:r>
      <w:r>
        <w:rPr>
          <w:color w:val="000000"/>
          <w:sz w:val="22"/>
          <w:szCs w:val="22"/>
          <w:highlight w:val="white"/>
        </w:rPr>
        <w:t>.</w:t>
      </w:r>
    </w:p>
    <w:p>
      <w:pPr>
        <w:pStyle w:val="Normal"/>
        <w:jc w:val="both"/>
        <w:rPr>
          <w:highlight w:val="white"/>
        </w:rPr>
      </w:pPr>
      <w:r>
        <w:rPr>
          <w:sz w:val="22"/>
          <w:highlight w:val="white"/>
        </w:rPr>
        <w:tab/>
        <w:t xml:space="preserve">6.3. В случае неисполнения </w:t>
      </w:r>
      <w:r>
        <w:rPr>
          <w:b/>
          <w:sz w:val="22"/>
          <w:highlight w:val="white"/>
        </w:rPr>
        <w:t>КЛИЕНТОМ</w:t>
      </w:r>
      <w:r>
        <w:rPr>
          <w:sz w:val="22"/>
          <w:highlight w:val="white"/>
        </w:rPr>
        <w:t xml:space="preserve"> условий настоящего договора, </w:t>
      </w:r>
      <w:r>
        <w:rPr>
          <w:b/>
          <w:sz w:val="22"/>
          <w:highlight w:val="white"/>
        </w:rPr>
        <w:t>ОХРАНА</w:t>
      </w:r>
      <w:r>
        <w:rPr>
          <w:sz w:val="22"/>
          <w:highlight w:val="white"/>
        </w:rPr>
        <w:t xml:space="preserve"> вправе прекратить исполнение своих обязательств по договору. После письменного уведомления </w:t>
      </w:r>
      <w:r>
        <w:rPr>
          <w:b/>
          <w:sz w:val="22"/>
          <w:highlight w:val="white"/>
        </w:rPr>
        <w:t>ОХРАНОЙ КЛИЕНТА</w:t>
      </w:r>
      <w:r>
        <w:rPr>
          <w:sz w:val="22"/>
          <w:highlight w:val="white"/>
        </w:rPr>
        <w:t xml:space="preserve"> о прекращении исполнения обязательств, настоящий договор считается приостановленным или расторгнутым.</w:t>
      </w:r>
    </w:p>
    <w:p>
      <w:pPr>
        <w:pStyle w:val="Normal"/>
        <w:jc w:val="both"/>
        <w:rPr>
          <w:sz w:val="22"/>
        </w:rPr>
      </w:pPr>
      <w:r>
        <w:rPr>
          <w:sz w:val="22"/>
        </w:rPr>
        <w:tab/>
        <w:t xml:space="preserve">6.4. </w:t>
      </w:r>
      <w:r>
        <w:rPr>
          <w:b/>
          <w:sz w:val="22"/>
        </w:rPr>
        <w:t>ОХРАНА</w:t>
      </w:r>
      <w:r>
        <w:rPr>
          <w:sz w:val="22"/>
        </w:rPr>
        <w:t xml:space="preserve"> вправе временно приостановить предоставление услуг по настоящему договору, уведомив об этом </w:t>
      </w:r>
      <w:r>
        <w:rPr>
          <w:b/>
          <w:sz w:val="22"/>
        </w:rPr>
        <w:t>КЛИЕНТА</w:t>
      </w:r>
      <w:r>
        <w:rPr>
          <w:sz w:val="22"/>
        </w:rPr>
        <w:t xml:space="preserve"> в срок не менее чем за 3 дня, в случае возникновения спора о праве собственности и управления имуществом, находящимся во владении </w:t>
      </w:r>
      <w:r>
        <w:rPr>
          <w:b/>
          <w:sz w:val="22"/>
        </w:rPr>
        <w:t>КЛИЕНТА</w:t>
      </w:r>
      <w:r>
        <w:rPr>
          <w:sz w:val="22"/>
        </w:rPr>
        <w:t xml:space="preserve"> и являющимся объектом охраны, до момента разрешения спора в предусмотренном законом порядке.</w:t>
      </w:r>
    </w:p>
    <w:p>
      <w:pPr>
        <w:pStyle w:val="Normal"/>
        <w:jc w:val="both"/>
        <w:rPr>
          <w:sz w:val="22"/>
        </w:rPr>
      </w:pPr>
      <w:r>
        <w:rPr>
          <w:sz w:val="22"/>
        </w:rPr>
        <w:tab/>
        <w:t xml:space="preserve">6.5.  </w:t>
      </w:r>
      <w:r>
        <w:rPr>
          <w:b/>
          <w:sz w:val="22"/>
        </w:rPr>
        <w:t xml:space="preserve">ОХРАНА </w:t>
      </w:r>
      <w:r>
        <w:rPr>
          <w:sz w:val="22"/>
        </w:rPr>
        <w:t>в праве приостановить</w:t>
      </w:r>
      <w:r>
        <w:rPr>
          <w:color w:val="000000"/>
          <w:sz w:val="22"/>
        </w:rPr>
        <w:t xml:space="preserve"> либо расторгнуть </w:t>
      </w:r>
      <w:r>
        <w:rPr>
          <w:sz w:val="22"/>
        </w:rPr>
        <w:t>действие настоящего договора, уведомив об это</w:t>
      </w:r>
      <w:r>
        <w:rPr>
          <w:sz w:val="22"/>
          <w:highlight w:val="white"/>
        </w:rPr>
        <w:t xml:space="preserve">м </w:t>
      </w:r>
      <w:r>
        <w:rPr>
          <w:b/>
          <w:sz w:val="22"/>
          <w:highlight w:val="white"/>
        </w:rPr>
        <w:t xml:space="preserve">КЛИЕНТА </w:t>
      </w:r>
      <w:r>
        <w:rPr>
          <w:sz w:val="22"/>
          <w:highlight w:val="white"/>
        </w:rPr>
        <w:t xml:space="preserve">в срок не менее чем за 3 дня, в случае не обеспечения </w:t>
      </w:r>
      <w:r>
        <w:rPr>
          <w:b/>
          <w:sz w:val="22"/>
          <w:highlight w:val="white"/>
        </w:rPr>
        <w:t xml:space="preserve">КЛИЕНТОМ </w:t>
      </w:r>
      <w:r>
        <w:rPr>
          <w:sz w:val="22"/>
          <w:highlight w:val="white"/>
        </w:rPr>
        <w:t>эксплуатационного обслуживания ОПС обслуживающей организацией.</w:t>
      </w:r>
    </w:p>
    <w:p>
      <w:pPr>
        <w:pStyle w:val="Normal"/>
        <w:jc w:val="both"/>
        <w:rPr/>
      </w:pPr>
      <w:r>
        <w:rPr>
          <w:color w:val="FF0000"/>
          <w:sz w:val="22"/>
          <w:highlight w:val="white"/>
        </w:rPr>
        <w:tab/>
      </w:r>
      <w:r>
        <w:rPr>
          <w:color w:val="000000"/>
          <w:sz w:val="22"/>
          <w:highlight w:val="white"/>
        </w:rPr>
        <w:t>6.6. До передачи спора на разрешение Арбитражного суда Астраханской области, Стороны примут меры к его урегулированию в претензионном порядке. Претензия должна быть направлена в письменном виде. По получении претензии получившая ее Сторона должна дать письменный ответ по существу соответствующей претензии в срок не позднее 10 (Десяти) календарных дней с момента даты ее получения, в т.ч. по своевременной и полной оплате по настоящему договору. По истечению данного срока Сторона, направившая претензию, вправе обратиться за защитой своих прав в Арбитражный суд Астраханской области.</w:t>
      </w:r>
    </w:p>
    <w:p>
      <w:pPr>
        <w:pStyle w:val="Normal"/>
        <w:jc w:val="center"/>
        <w:rPr>
          <w:b/>
          <w:color w:val="000000"/>
          <w:sz w:val="22"/>
        </w:rPr>
      </w:pPr>
      <w:r>
        <w:rPr>
          <w:b/>
          <w:color w:val="000000"/>
          <w:sz w:val="22"/>
        </w:rPr>
      </w:r>
    </w:p>
    <w:p>
      <w:pPr>
        <w:pStyle w:val="Normal"/>
        <w:numPr>
          <w:ilvl w:val="0"/>
          <w:numId w:val="0"/>
        </w:numPr>
        <w:spacing w:before="0" w:after="0"/>
        <w:ind w:hanging="0" w:left="0" w:right="0"/>
        <w:jc w:val="center"/>
        <w:rPr>
          <w:b/>
          <w:sz w:val="21"/>
        </w:rPr>
      </w:pPr>
      <w:r>
        <w:rPr>
          <w:b/>
          <w:sz w:val="21"/>
        </w:rPr>
        <w:t>7. ФОРС-МАЖОРНЫЕ ОБСТОЯТЕЛЬСТВА.</w:t>
      </w:r>
    </w:p>
    <w:p>
      <w:pPr>
        <w:pStyle w:val="Normal"/>
        <w:spacing w:before="0" w:after="0"/>
        <w:ind w:hanging="0" w:left="720" w:right="0"/>
        <w:rPr>
          <w:b/>
          <w:sz w:val="21"/>
        </w:rPr>
      </w:pPr>
      <w:r>
        <w:rPr>
          <w:b/>
          <w:sz w:val="21"/>
        </w:rPr>
      </w:r>
    </w:p>
    <w:p>
      <w:pPr>
        <w:pStyle w:val="Normal"/>
        <w:tabs>
          <w:tab w:val="clear" w:pos="720"/>
          <w:tab w:val="left" w:pos="0" w:leader="none"/>
          <w:tab w:val="left" w:pos="709" w:leader="none"/>
          <w:tab w:val="left" w:pos="993" w:leader="none"/>
        </w:tabs>
        <w:ind w:firstLine="426" w:left="0" w:right="0"/>
        <w:jc w:val="both"/>
        <w:rPr>
          <w:sz w:val="22"/>
          <w:szCs w:val="22"/>
        </w:rPr>
      </w:pPr>
      <w:r>
        <w:rPr>
          <w:sz w:val="22"/>
          <w:szCs w:val="22"/>
        </w:rPr>
        <w:t xml:space="preserve">7.1. Наличие форс-мажорных обстоятельств у одной из СТОРОН (обстоятельств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землетрясений, наводнений, ураганов, других природных (стихийный) явлений, некоторых обстоятельств общественной жизни (гражданских волнений), в том числе объявленной или фактической войны (военных действий), диверсий, эпидемий, блокады, эмбарго, пожаров, аварий, в которых непосредственно либо косвенно участвует сторона по настоящему Договору, Указов Президента Российской Федерации, а также постановлений или распоряжений органов государственной власти, изменений в текущем законодательстве или других не 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 </w:t>
      </w:r>
    </w:p>
    <w:p>
      <w:pPr>
        <w:pStyle w:val="Normal"/>
        <w:tabs>
          <w:tab w:val="clear" w:pos="720"/>
          <w:tab w:val="left" w:pos="0" w:leader="none"/>
          <w:tab w:val="left" w:pos="851" w:leader="none"/>
        </w:tabs>
        <w:ind w:firstLine="426" w:left="0" w:right="0"/>
        <w:jc w:val="both"/>
        <w:rPr>
          <w:sz w:val="22"/>
          <w:szCs w:val="22"/>
        </w:rPr>
      </w:pPr>
      <w:r>
        <w:rPr>
          <w:sz w:val="22"/>
          <w:szCs w:val="22"/>
        </w:rPr>
        <w:t>7.2. Сторона, для которой надлежащее исполнение обязательств оказалось невозможным по настоящему Договору вследствие наступления форс-мажорных обстоятельств, действия обстоятельств непреодолимой силы, имеет право в течение 12 часов с даты возникновения таких обстоятельств отказаться от дальнейшего выполнения взятых на себя обязательств и приостановить действие Договора, в связи с наступлением вышеуказанных обстоятельств и их влиянием на исполнение обязательств по Договору, без требования возм</w:t>
      </w:r>
      <w:r>
        <w:rPr>
          <w:b w:val="false"/>
          <w:sz w:val="22"/>
          <w:szCs w:val="22"/>
        </w:rPr>
        <w:t>ещения убытков, понесенных в связи с наступлением таких обстоятельств.</w:t>
      </w:r>
    </w:p>
    <w:p>
      <w:pPr>
        <w:pStyle w:val="Normal"/>
        <w:tabs>
          <w:tab w:val="clear" w:pos="720"/>
          <w:tab w:val="left" w:pos="0" w:leader="none"/>
          <w:tab w:val="left" w:pos="851" w:leader="none"/>
        </w:tabs>
        <w:ind w:firstLine="426" w:left="0" w:right="0"/>
        <w:jc w:val="both"/>
        <w:rPr>
          <w:sz w:val="22"/>
          <w:szCs w:val="22"/>
        </w:rPr>
      </w:pPr>
      <w:r>
        <w:rPr>
          <w:b w:val="false"/>
          <w:sz w:val="22"/>
          <w:szCs w:val="22"/>
        </w:rPr>
        <w:t>7.3. Если, по мнению сторон, услуги могут быть продолжены в порядке, действовавшем по настоящему Договору до начала действий обстоятельств непреодолимой силы, то срок исполнения обязательств по настоящему Договору продлевается соразмерно времени, в течение которого действовали обстоятельства непреодолимой силы и их последствия, но не более чем на 1 месяц и не далее сроков действия Договора. По истечению этого срока «Стороны» имеют право отказаться от дальнейшего выполнения взятых на себя обязательств и расторгнуть Договор.</w:t>
      </w:r>
    </w:p>
    <w:p>
      <w:pPr>
        <w:pStyle w:val="Normal"/>
        <w:tabs>
          <w:tab w:val="clear" w:pos="720"/>
          <w:tab w:val="left" w:pos="0" w:leader="none"/>
          <w:tab w:val="left" w:pos="851" w:leader="none"/>
        </w:tabs>
        <w:ind w:firstLine="426" w:left="0" w:right="0"/>
        <w:jc w:val="both"/>
        <w:rPr>
          <w:b/>
          <w:sz w:val="22"/>
          <w:highlight w:val="white"/>
        </w:rPr>
      </w:pPr>
      <w:r>
        <w:rPr>
          <w:b/>
          <w:sz w:val="22"/>
          <w:highlight w:val="white"/>
        </w:rPr>
      </w:r>
    </w:p>
    <w:p>
      <w:pPr>
        <w:pStyle w:val="Normal"/>
        <w:jc w:val="center"/>
        <w:rPr>
          <w:highlight w:val="white"/>
        </w:rPr>
      </w:pPr>
      <w:r>
        <w:rPr>
          <w:b/>
          <w:sz w:val="22"/>
          <w:highlight w:val="white"/>
        </w:rPr>
        <w:t>8.  СРОК ДЕЙСТВИЯ ДОГОВОРА И</w:t>
      </w:r>
    </w:p>
    <w:p>
      <w:pPr>
        <w:pStyle w:val="Normal"/>
        <w:jc w:val="center"/>
        <w:rPr>
          <w:highlight w:val="white"/>
        </w:rPr>
      </w:pPr>
      <w:r>
        <w:rPr>
          <w:b/>
          <w:sz w:val="22"/>
          <w:highlight w:val="white"/>
        </w:rPr>
        <w:t>ОСНОВАНИЯ ИЗМЕНЕНИЯ И РАСТОРЖЕНИЯ ДОГОВОРА.</w:t>
      </w:r>
    </w:p>
    <w:p>
      <w:pPr>
        <w:pStyle w:val="Normal"/>
        <w:jc w:val="center"/>
        <w:rPr>
          <w:b/>
          <w:sz w:val="22"/>
          <w:highlight w:val="white"/>
        </w:rPr>
      </w:pPr>
      <w:r>
        <w:rPr>
          <w:b/>
          <w:sz w:val="22"/>
          <w:highlight w:val="white"/>
        </w:rPr>
      </w:r>
    </w:p>
    <w:p>
      <w:pPr>
        <w:pStyle w:val="Normal"/>
        <w:spacing w:before="0" w:after="0"/>
        <w:jc w:val="both"/>
        <w:rPr>
          <w:highlight w:val="white"/>
        </w:rPr>
      </w:pPr>
      <w:r>
        <w:rPr>
          <w:color w:val="FF0000"/>
          <w:sz w:val="22"/>
          <w:highlight w:val="white"/>
        </w:rPr>
        <w:tab/>
      </w:r>
      <w:r>
        <w:rPr>
          <w:b w:val="false"/>
          <w:color w:val="000000"/>
          <w:sz w:val="21"/>
          <w:highlight w:val="white"/>
        </w:rPr>
        <w:t>8.1.  Настоящий договор вступает в силу с момента его подписания уполномоченными представителями обеих сторон и заключается сторонами на срок</w:t>
      </w:r>
      <w:r>
        <w:rPr>
          <w:b/>
          <w:color w:val="000000"/>
          <w:sz w:val="21"/>
          <w:highlight w:val="white"/>
        </w:rPr>
        <w:t xml:space="preserve"> с «10 » июня 2024 года до «31» декабря 2024 года</w:t>
      </w:r>
      <w:r>
        <w:rPr>
          <w:b w:val="false"/>
          <w:color w:val="000000"/>
          <w:sz w:val="21"/>
          <w:highlight w:val="white"/>
        </w:rPr>
        <w:t>.</w:t>
      </w:r>
      <w:r>
        <w:rPr>
          <w:b w:val="false"/>
          <w:color w:val="FF0000"/>
          <w:sz w:val="21"/>
          <w:highlight w:val="white"/>
        </w:rPr>
        <w:t xml:space="preserve"> </w:t>
      </w:r>
      <w:r>
        <w:rPr>
          <w:b w:val="false"/>
          <w:color w:val="000000"/>
          <w:sz w:val="21"/>
          <w:highlight w:val="white"/>
        </w:rPr>
        <w:t>Если за один месяц до истечения срока действия договора ни одна из сторон не потребует в письменной форме его прекращения или изменения, договор признаётся продлённым на прежних условиях на каждый последующий год.</w:t>
      </w:r>
    </w:p>
    <w:p>
      <w:pPr>
        <w:pStyle w:val="Normal"/>
        <w:jc w:val="both"/>
        <w:rPr>
          <w:highlight w:val="white"/>
        </w:rPr>
      </w:pPr>
      <w:r>
        <w:rPr>
          <w:sz w:val="22"/>
          <w:highlight w:val="white"/>
        </w:rPr>
        <w:tab/>
        <w:t xml:space="preserve">8.2. Вносимые дополнения и изменения в договор, а также в приложения к договору рассматриваются сторонами в 10-дневный срок и оформляются дополнительным соглашением. </w:t>
      </w:r>
    </w:p>
    <w:p>
      <w:pPr>
        <w:pStyle w:val="Normal"/>
        <w:jc w:val="both"/>
        <w:rPr>
          <w:sz w:val="22"/>
        </w:rPr>
      </w:pPr>
      <w:r>
        <w:rPr>
          <w:sz w:val="22"/>
          <w:highlight w:val="white"/>
        </w:rPr>
        <w:tab/>
        <w:t>8.3. Прекращение договора до истечения срока его действия возможно по</w:t>
      </w:r>
      <w:r>
        <w:rPr>
          <w:sz w:val="22"/>
        </w:rPr>
        <w:t xml:space="preserve"> соглашению сторон, при этом заинтересованная сторона обязана письменно предупредить другую СТОРОНУ не менее чем за 10 дней. </w:t>
      </w:r>
    </w:p>
    <w:p>
      <w:pPr>
        <w:pStyle w:val="Normal"/>
        <w:jc w:val="both"/>
        <w:rPr>
          <w:sz w:val="22"/>
        </w:rPr>
      </w:pPr>
      <w:r>
        <w:rPr>
          <w:sz w:val="22"/>
        </w:rPr>
        <w:tab/>
        <w:t>8.4. По всем вопросам, не урегулированным настоящим договором, стороны руководствуются действующим законодательством Российской Федерации. Все споры между сторонами, по которым недостигнуто соглашение, разрешаются в соответствии с законодательством Российской Федерации в Арбитражном суде Астраханской области.</w:t>
      </w:r>
    </w:p>
    <w:p>
      <w:pPr>
        <w:pStyle w:val="Normal"/>
        <w:jc w:val="both"/>
        <w:rPr>
          <w:sz w:val="22"/>
        </w:rPr>
      </w:pPr>
      <w:r>
        <w:rPr>
          <w:sz w:val="22"/>
        </w:rPr>
        <w:tab/>
        <w:t xml:space="preserve">8.5. Договор с приложениями составлен в двух экземплярах, один находится у </w:t>
      </w:r>
      <w:r>
        <w:rPr>
          <w:b/>
          <w:sz w:val="22"/>
        </w:rPr>
        <w:t>ОХРАНЫ</w:t>
      </w:r>
      <w:r>
        <w:rPr>
          <w:sz w:val="22"/>
        </w:rPr>
        <w:t xml:space="preserve">, второй у </w:t>
      </w:r>
      <w:r>
        <w:rPr>
          <w:b/>
          <w:sz w:val="22"/>
        </w:rPr>
        <w:t>КЛИЕНТА</w:t>
      </w:r>
      <w:r>
        <w:rPr>
          <w:sz w:val="22"/>
        </w:rPr>
        <w:t>.</w:t>
      </w:r>
    </w:p>
    <w:p>
      <w:pPr>
        <w:pStyle w:val="Normal"/>
        <w:rPr>
          <w:b/>
          <w:sz w:val="22"/>
          <w:highlight w:val="white"/>
        </w:rPr>
      </w:pPr>
      <w:r>
        <w:rPr>
          <w:b/>
          <w:sz w:val="22"/>
          <w:highlight w:val="white"/>
        </w:rPr>
      </w:r>
    </w:p>
    <w:p>
      <w:pPr>
        <w:pStyle w:val="Normal"/>
        <w:rPr>
          <w:highlight w:val="white"/>
        </w:rPr>
      </w:pPr>
      <w:r>
        <w:rPr>
          <w:b/>
          <w:sz w:val="22"/>
          <w:highlight w:val="white"/>
        </w:rPr>
        <w:t>ПРИЛОЖЕНИЯ:</w:t>
      </w:r>
    </w:p>
    <w:p>
      <w:pPr>
        <w:pStyle w:val="Normal"/>
        <w:numPr>
          <w:ilvl w:val="0"/>
          <w:numId w:val="1"/>
        </w:numPr>
        <w:jc w:val="both"/>
        <w:rPr>
          <w:highlight w:val="white"/>
        </w:rPr>
      </w:pPr>
      <w:r>
        <w:rPr>
          <w:sz w:val="22"/>
          <w:highlight w:val="white"/>
        </w:rPr>
        <w:t>Перечень услуг «Охраны» (Приложение № 1)</w:t>
      </w:r>
    </w:p>
    <w:p>
      <w:pPr>
        <w:pStyle w:val="Normal"/>
        <w:numPr>
          <w:ilvl w:val="0"/>
          <w:numId w:val="1"/>
        </w:numPr>
        <w:jc w:val="both"/>
        <w:rPr>
          <w:highlight w:val="white"/>
        </w:rPr>
      </w:pPr>
      <w:r>
        <w:rPr>
          <w:sz w:val="22"/>
          <w:highlight w:val="white"/>
        </w:rPr>
        <w:t xml:space="preserve">Инструкция о порядке пользования средствами охранно-пожарной сигнализации (Приложение № 2) </w:t>
      </w:r>
    </w:p>
    <w:p>
      <w:pPr>
        <w:pStyle w:val="Normal"/>
        <w:jc w:val="center"/>
        <w:rPr>
          <w:highlight w:val="white"/>
        </w:rPr>
      </w:pPr>
      <w:r>
        <w:rPr>
          <w:sz w:val="22"/>
          <w:highlight w:val="white"/>
        </w:rPr>
        <w:t>Вышеперечисленные приложения являются неотъемлемой частью настоящего договора.</w:t>
      </w:r>
    </w:p>
    <w:p>
      <w:pPr>
        <w:pStyle w:val="Normal"/>
        <w:jc w:val="center"/>
        <w:rPr>
          <w:sz w:val="22"/>
          <w:highlight w:val="white"/>
        </w:rPr>
      </w:pPr>
      <w:r>
        <w:rPr>
          <w:sz w:val="22"/>
          <w:highlight w:val="white"/>
        </w:rPr>
      </w:r>
    </w:p>
    <w:p>
      <w:pPr>
        <w:pStyle w:val="BodyTextIndent"/>
        <w:ind w:hanging="0" w:left="0" w:right="0"/>
        <w:jc w:val="center"/>
        <w:rPr>
          <w:highlight w:val="white"/>
        </w:rPr>
      </w:pPr>
      <w:r>
        <w:rPr>
          <w:b/>
          <w:sz w:val="22"/>
          <w:highlight w:val="white"/>
        </w:rPr>
        <w:t xml:space="preserve">9.   </w:t>
      </w:r>
      <w:r>
        <w:rPr>
          <w:b/>
          <w:sz w:val="21"/>
          <w:highlight w:val="white"/>
        </w:rPr>
        <w:t xml:space="preserve">ЮРИДИЧЕСКИЕ АДРЕСА И ФАКТИЧЕСКОЕ МЕСТОНАХОЖДЕНИЕ СТОРОН, </w:t>
      </w:r>
    </w:p>
    <w:p>
      <w:pPr>
        <w:pStyle w:val="BodyTextIndent"/>
        <w:ind w:hanging="0" w:left="0" w:right="0"/>
        <w:jc w:val="center"/>
        <w:rPr>
          <w:highlight w:val="white"/>
        </w:rPr>
      </w:pPr>
      <w:r>
        <w:rPr>
          <w:b/>
          <w:sz w:val="22"/>
          <w:highlight w:val="white"/>
        </w:rPr>
        <w:t>ИХ БАНКОВСКИЕ РЕКВИЗИТЫ.</w:t>
      </w:r>
    </w:p>
    <w:tbl>
      <w:tblPr>
        <w:tblStyle w:val="Style_11"/>
        <w:tblW w:w="9266" w:type="dxa"/>
        <w:jc w:val="left"/>
        <w:tblInd w:w="0" w:type="dxa"/>
        <w:tblLayout w:type="fixed"/>
        <w:tblCellMar>
          <w:top w:w="0" w:type="dxa"/>
          <w:left w:w="108" w:type="dxa"/>
          <w:bottom w:w="0" w:type="dxa"/>
          <w:right w:w="108" w:type="dxa"/>
        </w:tblCellMar>
      </w:tblPr>
      <w:tblGrid>
        <w:gridCol w:w="1161"/>
        <w:gridCol w:w="3756"/>
        <w:gridCol w:w="1132"/>
        <w:gridCol w:w="3216"/>
      </w:tblGrid>
      <w:tr>
        <w:trPr/>
        <w:tc>
          <w:tcPr>
            <w:tcW w:w="4917"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both"/>
              <w:rPr/>
            </w:pPr>
            <w:r>
              <w:rPr>
                <w:b/>
                <w:sz w:val="21"/>
              </w:rPr>
              <w:t xml:space="preserve">ОХРАНА: </w:t>
            </w:r>
            <w:r>
              <w:rPr>
                <w:sz w:val="21"/>
              </w:rPr>
              <w:t>Федеральное государственное казенное учреждение «Отдел вневедомственной охраны войск национальной гвардии Российской Федерации по Астраханской области».</w:t>
            </w:r>
          </w:p>
          <w:p>
            <w:pPr>
              <w:pStyle w:val="Normal"/>
              <w:widowControl w:val="false"/>
              <w:jc w:val="both"/>
              <w:rPr>
                <w:b/>
                <w:sz w:val="21"/>
              </w:rPr>
            </w:pPr>
            <w:r>
              <w:rPr>
                <w:b/>
                <w:sz w:val="21"/>
              </w:rPr>
              <w:t>ФГКУ «ОВО ВНГ России по Астраханской области</w:t>
            </w:r>
          </w:p>
        </w:tc>
        <w:tc>
          <w:tcPr>
            <w:tcW w:w="434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both"/>
              <w:rPr/>
            </w:pPr>
            <w:r>
              <w:rPr>
                <w:b/>
                <w:sz w:val="21"/>
              </w:rPr>
              <w:t>КЛИЕНТ:</w:t>
            </w:r>
          </w:p>
        </w:tc>
      </w:tr>
      <w:tr>
        <w:trPr/>
        <w:tc>
          <w:tcPr>
            <w:tcW w:w="1161"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t>Адрес</w:t>
            </w:r>
          </w:p>
        </w:tc>
        <w:tc>
          <w:tcPr>
            <w:tcW w:w="3756"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pPr>
            <w:r>
              <w:rPr>
                <w:sz w:val="21"/>
              </w:rPr>
              <w:t>Юридический адрес: 414000,                          г. Астрахань, ул. Адмиралтейская зд. 7</w:t>
            </w:r>
          </w:p>
          <w:p>
            <w:pPr>
              <w:pStyle w:val="Normal"/>
              <w:widowControl w:val="false"/>
              <w:jc w:val="both"/>
              <w:rPr/>
            </w:pPr>
            <w:r>
              <w:rPr>
                <w:sz w:val="21"/>
              </w:rPr>
              <w:t>Фактический адрес:</w:t>
            </w:r>
          </w:p>
        </w:tc>
        <w:tc>
          <w:tcPr>
            <w:tcW w:w="1132"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t>Адрес</w:t>
            </w:r>
          </w:p>
        </w:tc>
        <w:tc>
          <w:tcPr>
            <w:tcW w:w="3216"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1"/>
              </w:rPr>
            </w:pPr>
            <w:r>
              <w:rPr>
                <w:sz w:val="21"/>
              </w:rPr>
            </w:r>
          </w:p>
        </w:tc>
      </w:tr>
      <w:tr>
        <w:trPr>
          <w:trHeight w:val="97" w:hRule="atLeast"/>
        </w:trPr>
        <w:tc>
          <w:tcPr>
            <w:tcW w:w="1161"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t>Телефон</w:t>
            </w:r>
          </w:p>
        </w:tc>
        <w:tc>
          <w:tcPr>
            <w:tcW w:w="3756"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r>
          </w:p>
        </w:tc>
        <w:tc>
          <w:tcPr>
            <w:tcW w:w="1132"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t>Телефон</w:t>
            </w:r>
          </w:p>
        </w:tc>
        <w:tc>
          <w:tcPr>
            <w:tcW w:w="3216"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r>
          </w:p>
        </w:tc>
      </w:tr>
      <w:tr>
        <w:trPr/>
        <w:tc>
          <w:tcPr>
            <w:tcW w:w="1161"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t>Факс</w:t>
            </w:r>
          </w:p>
        </w:tc>
        <w:tc>
          <w:tcPr>
            <w:tcW w:w="3756"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r>
          </w:p>
        </w:tc>
        <w:tc>
          <w:tcPr>
            <w:tcW w:w="1132"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t>Факс</w:t>
            </w:r>
          </w:p>
        </w:tc>
        <w:tc>
          <w:tcPr>
            <w:tcW w:w="3216"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r>
          </w:p>
        </w:tc>
      </w:tr>
      <w:tr>
        <w:trPr/>
        <w:tc>
          <w:tcPr>
            <w:tcW w:w="1161"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t>Эл. Адрес</w:t>
            </w:r>
          </w:p>
        </w:tc>
        <w:tc>
          <w:tcPr>
            <w:tcW w:w="3756"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1"/>
              </w:rPr>
            </w:pPr>
            <w:r>
              <w:rPr>
                <w:sz w:val="21"/>
              </w:rPr>
            </w:r>
          </w:p>
        </w:tc>
        <w:tc>
          <w:tcPr>
            <w:tcW w:w="1132"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t>Эл. Адрес</w:t>
            </w:r>
          </w:p>
        </w:tc>
        <w:tc>
          <w:tcPr>
            <w:tcW w:w="3216"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r>
          </w:p>
        </w:tc>
      </w:tr>
      <w:tr>
        <w:trPr/>
        <w:tc>
          <w:tcPr>
            <w:tcW w:w="1161"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t>ИНН</w:t>
            </w:r>
          </w:p>
        </w:tc>
        <w:tc>
          <w:tcPr>
            <w:tcW w:w="3756"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t>3015096808</w:t>
            </w:r>
          </w:p>
        </w:tc>
        <w:tc>
          <w:tcPr>
            <w:tcW w:w="1132"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t>ИНН</w:t>
            </w:r>
          </w:p>
        </w:tc>
        <w:tc>
          <w:tcPr>
            <w:tcW w:w="3216"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r>
          </w:p>
        </w:tc>
      </w:tr>
      <w:tr>
        <w:trPr/>
        <w:tc>
          <w:tcPr>
            <w:tcW w:w="1161"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t>Реквизиты</w:t>
            </w:r>
          </w:p>
        </w:tc>
        <w:tc>
          <w:tcPr>
            <w:tcW w:w="3756" w:type="dxa"/>
            <w:tcBorders>
              <w:top w:val="single" w:sz="4" w:space="0" w:color="000000"/>
              <w:left w:val="single" w:sz="4" w:space="0" w:color="000000"/>
              <w:bottom w:val="single" w:sz="4" w:space="0" w:color="000000"/>
              <w:right w:val="single" w:sz="4" w:space="0" w:color="000000"/>
            </w:tcBorders>
          </w:tcPr>
          <w:p>
            <w:pPr>
              <w:pStyle w:val="BodyText"/>
              <w:widowControl w:val="false"/>
              <w:rPr>
                <w:sz w:val="21"/>
              </w:rPr>
            </w:pPr>
            <w:r>
              <w:rPr>
                <w:sz w:val="21"/>
              </w:rPr>
              <w:t>УФК по Астраханской области (ФГКУ «ОВО ВНГ России по Астраханской области»</w:t>
            </w:r>
          </w:p>
          <w:p>
            <w:pPr>
              <w:pStyle w:val="BodyText"/>
              <w:widowControl w:val="false"/>
              <w:rPr>
                <w:sz w:val="21"/>
              </w:rPr>
            </w:pPr>
            <w:r>
              <w:rPr>
                <w:sz w:val="21"/>
              </w:rPr>
              <w:t>л/с04251D11720</w:t>
            </w:r>
          </w:p>
          <w:p>
            <w:pPr>
              <w:pStyle w:val="BodyText"/>
              <w:widowControl w:val="false"/>
              <w:rPr>
                <w:sz w:val="21"/>
              </w:rPr>
            </w:pPr>
            <w:r>
              <w:rPr>
                <w:sz w:val="21"/>
              </w:rPr>
              <w:t>ОГРН 1123015002110</w:t>
            </w:r>
          </w:p>
          <w:p>
            <w:pPr>
              <w:pStyle w:val="BodyText"/>
              <w:widowControl w:val="false"/>
              <w:rPr>
                <w:sz w:val="21"/>
              </w:rPr>
            </w:pPr>
            <w:r>
              <w:rPr>
                <w:sz w:val="21"/>
              </w:rPr>
              <w:t>КПП 301901001</w:t>
            </w:r>
          </w:p>
          <w:p>
            <w:pPr>
              <w:pStyle w:val="BodyText"/>
              <w:widowControl w:val="false"/>
              <w:rPr>
                <w:sz w:val="21"/>
              </w:rPr>
            </w:pPr>
            <w:r>
              <w:rPr>
                <w:sz w:val="21"/>
              </w:rPr>
              <w:t>Банк получателя ОТДЕЛЕНИЕ АСТРАХАНЬ БАНКА РОССИИ/УФК по Астраханской области г.Астрахань</w:t>
            </w:r>
          </w:p>
          <w:p>
            <w:pPr>
              <w:pStyle w:val="BodyText"/>
              <w:widowControl w:val="false"/>
              <w:rPr>
                <w:sz w:val="21"/>
              </w:rPr>
            </w:pPr>
            <w:r>
              <w:rPr>
                <w:sz w:val="21"/>
              </w:rPr>
              <w:t>БИК 011203901</w:t>
            </w:r>
          </w:p>
          <w:p>
            <w:pPr>
              <w:pStyle w:val="BodyText"/>
              <w:widowControl w:val="false"/>
              <w:rPr>
                <w:sz w:val="21"/>
              </w:rPr>
            </w:pPr>
            <w:r>
              <w:rPr>
                <w:sz w:val="21"/>
              </w:rPr>
              <w:t>КС 03100643000000012500</w:t>
            </w:r>
          </w:p>
          <w:p>
            <w:pPr>
              <w:pStyle w:val="BodyText"/>
              <w:widowControl w:val="false"/>
              <w:rPr>
                <w:sz w:val="21"/>
              </w:rPr>
            </w:pPr>
            <w:r>
              <w:rPr>
                <w:sz w:val="21"/>
              </w:rPr>
              <w:t>ЕКС 40102810445370000017</w:t>
            </w:r>
          </w:p>
          <w:p>
            <w:pPr>
              <w:pStyle w:val="BodyText"/>
              <w:widowControl w:val="false"/>
              <w:rPr>
                <w:sz w:val="21"/>
              </w:rPr>
            </w:pPr>
            <w:r>
              <w:rPr>
                <w:sz w:val="21"/>
              </w:rPr>
              <w:t>КБК 18011301081017000130</w:t>
            </w:r>
          </w:p>
          <w:p>
            <w:pPr>
              <w:pStyle w:val="BodyText"/>
              <w:widowControl w:val="false"/>
              <w:rPr>
                <w:sz w:val="21"/>
              </w:rPr>
            </w:pPr>
            <w:r>
              <w:rPr>
                <w:sz w:val="21"/>
              </w:rPr>
              <w:t>ОКПО 08683659</w:t>
            </w:r>
          </w:p>
          <w:p>
            <w:pPr>
              <w:pStyle w:val="BodyText"/>
              <w:widowControl w:val="false"/>
              <w:rPr>
                <w:sz w:val="21"/>
              </w:rPr>
            </w:pPr>
            <w:r>
              <w:rPr>
                <w:sz w:val="21"/>
              </w:rPr>
              <w:t>ОКВЭД 84.24</w:t>
            </w:r>
          </w:p>
          <w:p>
            <w:pPr>
              <w:pStyle w:val="BodyText"/>
              <w:widowControl w:val="false"/>
              <w:rPr>
                <w:sz w:val="21"/>
              </w:rPr>
            </w:pPr>
            <w:r>
              <w:rPr>
                <w:sz w:val="21"/>
              </w:rPr>
              <w:t>ОКФС 12</w:t>
            </w:r>
          </w:p>
          <w:p>
            <w:pPr>
              <w:pStyle w:val="BodyText"/>
              <w:widowControl w:val="false"/>
              <w:rPr>
                <w:sz w:val="21"/>
              </w:rPr>
            </w:pPr>
            <w:r>
              <w:rPr>
                <w:sz w:val="21"/>
              </w:rPr>
              <w:t>ОКОПФ 75104</w:t>
            </w:r>
          </w:p>
          <w:p>
            <w:pPr>
              <w:pStyle w:val="BodyText"/>
              <w:widowControl w:val="false"/>
              <w:rPr>
                <w:sz w:val="21"/>
              </w:rPr>
            </w:pPr>
            <w:r>
              <w:rPr>
                <w:sz w:val="21"/>
              </w:rPr>
              <w:t>ОКТМО 12701000</w:t>
            </w:r>
          </w:p>
          <w:p>
            <w:pPr>
              <w:pStyle w:val="BodyText"/>
              <w:widowControl w:val="false"/>
              <w:rPr>
                <w:sz w:val="21"/>
              </w:rPr>
            </w:pPr>
            <w:r>
              <w:rPr>
                <w:sz w:val="21"/>
              </w:rPr>
              <w:t>ОКОГУ 1319818</w:t>
            </w:r>
          </w:p>
        </w:tc>
        <w:tc>
          <w:tcPr>
            <w:tcW w:w="1132" w:type="dxa"/>
            <w:tcBorders>
              <w:top w:val="single" w:sz="4" w:space="0" w:color="000000"/>
              <w:left w:val="single" w:sz="4" w:space="0" w:color="000000"/>
              <w:bottom w:val="single" w:sz="4" w:space="0" w:color="000000"/>
              <w:right w:val="single" w:sz="4" w:space="0" w:color="000000"/>
            </w:tcBorders>
          </w:tcPr>
          <w:p>
            <w:pPr>
              <w:pStyle w:val="Normal"/>
              <w:widowControl w:val="false"/>
              <w:jc w:val="left"/>
              <w:rPr>
                <w:sz w:val="21"/>
              </w:rPr>
            </w:pPr>
            <w:r>
              <w:rPr>
                <w:sz w:val="21"/>
              </w:rPr>
              <w:t>Реквизиты</w:t>
            </w:r>
          </w:p>
        </w:tc>
        <w:tc>
          <w:tcPr>
            <w:tcW w:w="3216"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1"/>
              </w:rPr>
            </w:pPr>
            <w:r>
              <w:rPr>
                <w:sz w:val="21"/>
              </w:rPr>
            </w:r>
          </w:p>
        </w:tc>
      </w:tr>
    </w:tbl>
    <w:p>
      <w:pPr>
        <w:pStyle w:val="Normal"/>
        <w:rPr>
          <w:u w:val="single"/>
        </w:rPr>
      </w:pPr>
      <w:r>
        <w:rPr>
          <w:u w:val="single"/>
        </w:rPr>
      </w:r>
    </w:p>
    <w:tbl>
      <w:tblPr>
        <w:tblStyle w:val="Style_11"/>
        <w:tblW w:w="9299" w:type="dxa"/>
        <w:jc w:val="left"/>
        <w:tblInd w:w="0" w:type="dxa"/>
        <w:tblLayout w:type="fixed"/>
        <w:tblCellMar>
          <w:top w:w="0" w:type="dxa"/>
          <w:left w:w="108" w:type="dxa"/>
          <w:bottom w:w="0" w:type="dxa"/>
          <w:right w:w="108" w:type="dxa"/>
        </w:tblCellMar>
      </w:tblPr>
      <w:tblGrid>
        <w:gridCol w:w="5478"/>
        <w:gridCol w:w="3820"/>
      </w:tblGrid>
      <w:tr>
        <w:trPr/>
        <w:tc>
          <w:tcPr>
            <w:tcW w:w="5478" w:type="dxa"/>
            <w:tcBorders/>
          </w:tcPr>
          <w:p>
            <w:pPr>
              <w:pStyle w:val="Normal"/>
              <w:widowControl w:val="false"/>
              <w:jc w:val="left"/>
              <w:rPr>
                <w:b/>
                <w:sz w:val="21"/>
              </w:rPr>
            </w:pPr>
            <w:r>
              <w:rPr>
                <w:b/>
                <w:sz w:val="21"/>
              </w:rPr>
              <w:t xml:space="preserve">                   </w:t>
            </w:r>
            <w:r>
              <w:rPr>
                <w:b/>
                <w:sz w:val="21"/>
              </w:rPr>
              <w:t>ОХРАНА</w:t>
            </w:r>
          </w:p>
        </w:tc>
        <w:tc>
          <w:tcPr>
            <w:tcW w:w="3820" w:type="dxa"/>
            <w:tcBorders/>
          </w:tcPr>
          <w:p>
            <w:pPr>
              <w:pStyle w:val="Normal"/>
              <w:widowControl w:val="false"/>
              <w:jc w:val="left"/>
              <w:rPr>
                <w:b/>
                <w:sz w:val="21"/>
              </w:rPr>
            </w:pPr>
            <w:r>
              <w:rPr>
                <w:b/>
                <w:sz w:val="21"/>
              </w:rPr>
              <w:t xml:space="preserve">                          </w:t>
            </w:r>
            <w:r>
              <w:rPr>
                <w:b/>
                <w:sz w:val="21"/>
              </w:rPr>
              <w:t>КЛИЕНТ</w:t>
            </w:r>
          </w:p>
        </w:tc>
      </w:tr>
      <w:tr>
        <w:trPr/>
        <w:tc>
          <w:tcPr>
            <w:tcW w:w="5478" w:type="dxa"/>
            <w:tcBorders/>
          </w:tcPr>
          <w:p>
            <w:pPr>
              <w:pStyle w:val="Normal"/>
              <w:widowControl w:val="false"/>
              <w:jc w:val="left"/>
              <w:rPr>
                <w:b/>
                <w:sz w:val="21"/>
              </w:rPr>
            </w:pPr>
            <w:r>
              <w:rPr>
                <w:b/>
                <w:sz w:val="21"/>
              </w:rPr>
            </w:r>
          </w:p>
        </w:tc>
        <w:tc>
          <w:tcPr>
            <w:tcW w:w="3820" w:type="dxa"/>
            <w:tcBorders/>
          </w:tcPr>
          <w:p>
            <w:pPr>
              <w:pStyle w:val="Normal"/>
              <w:widowControl w:val="false"/>
              <w:jc w:val="left"/>
              <w:rPr>
                <w:b/>
                <w:sz w:val="21"/>
              </w:rPr>
            </w:pPr>
            <w:r>
              <w:rPr>
                <w:b/>
                <w:sz w:val="21"/>
              </w:rPr>
            </w:r>
          </w:p>
        </w:tc>
      </w:tr>
      <w:tr>
        <w:trPr/>
        <w:tc>
          <w:tcPr>
            <w:tcW w:w="5478" w:type="dxa"/>
            <w:tcBorders/>
          </w:tcPr>
          <w:p>
            <w:pPr>
              <w:pStyle w:val="Normal"/>
              <w:widowControl w:val="false"/>
              <w:jc w:val="left"/>
              <w:rPr/>
            </w:pPr>
            <w:r>
              <w:rPr>
                <w:sz w:val="21"/>
              </w:rPr>
              <w:t>_____________</w:t>
            </w:r>
            <w:r>
              <w:rPr>
                <w:b w:val="false"/>
                <w:sz w:val="21"/>
              </w:rPr>
              <w:t>____/_______________//</w:t>
            </w:r>
          </w:p>
        </w:tc>
        <w:tc>
          <w:tcPr>
            <w:tcW w:w="3820" w:type="dxa"/>
            <w:tcBorders/>
          </w:tcPr>
          <w:p>
            <w:pPr>
              <w:pStyle w:val="Normal"/>
              <w:widowControl w:val="false"/>
              <w:jc w:val="left"/>
              <w:rPr/>
            </w:pPr>
            <w:r>
              <w:rPr>
                <w:sz w:val="21"/>
              </w:rPr>
              <w:t>___________________/_____________</w:t>
            </w:r>
            <w:r>
              <w:rPr>
                <w:b/>
                <w:sz w:val="21"/>
              </w:rPr>
              <w:t>/</w:t>
            </w:r>
          </w:p>
          <w:p>
            <w:pPr>
              <w:pStyle w:val="Normal"/>
              <w:widowControl w:val="false"/>
              <w:jc w:val="left"/>
              <w:rPr>
                <w:b/>
                <w:sz w:val="21"/>
              </w:rPr>
            </w:pPr>
            <w:r>
              <w:rPr>
                <w:b/>
                <w:sz w:val="21"/>
              </w:rPr>
            </w:r>
          </w:p>
        </w:tc>
      </w:tr>
      <w:tr>
        <w:trPr/>
        <w:tc>
          <w:tcPr>
            <w:tcW w:w="5478" w:type="dxa"/>
            <w:tcBorders/>
          </w:tcPr>
          <w:p>
            <w:pPr>
              <w:pStyle w:val="Normal"/>
              <w:widowControl w:val="false"/>
              <w:jc w:val="left"/>
              <w:rPr>
                <w:b/>
                <w:sz w:val="21"/>
              </w:rPr>
            </w:pPr>
            <w:r>
              <w:rPr>
                <w:b/>
                <w:sz w:val="21"/>
              </w:rPr>
            </w:r>
          </w:p>
        </w:tc>
        <w:tc>
          <w:tcPr>
            <w:tcW w:w="3820" w:type="dxa"/>
            <w:tcBorders/>
          </w:tcPr>
          <w:p>
            <w:pPr>
              <w:pStyle w:val="Normal"/>
              <w:widowControl w:val="false"/>
              <w:jc w:val="left"/>
              <w:rPr>
                <w:sz w:val="21"/>
              </w:rPr>
            </w:pPr>
            <w:r>
              <w:rPr>
                <w:sz w:val="21"/>
              </w:rPr>
            </w:r>
          </w:p>
        </w:tc>
      </w:tr>
      <w:tr>
        <w:trPr/>
        <w:tc>
          <w:tcPr>
            <w:tcW w:w="5478" w:type="dxa"/>
            <w:tcBorders/>
          </w:tcPr>
          <w:p>
            <w:pPr>
              <w:pStyle w:val="Normal"/>
              <w:widowControl w:val="false"/>
              <w:jc w:val="left"/>
              <w:rPr/>
            </w:pPr>
            <w:r>
              <w:rPr>
                <w:sz w:val="21"/>
              </w:rPr>
              <w:t>«____»  ________________ 2024 г.</w:t>
            </w:r>
          </w:p>
        </w:tc>
        <w:tc>
          <w:tcPr>
            <w:tcW w:w="3820" w:type="dxa"/>
            <w:tcBorders/>
          </w:tcPr>
          <w:p>
            <w:pPr>
              <w:pStyle w:val="Normal"/>
              <w:widowControl w:val="false"/>
              <w:jc w:val="left"/>
              <w:rPr/>
            </w:pPr>
            <w:r>
              <w:rPr>
                <w:sz w:val="21"/>
              </w:rPr>
              <w:t xml:space="preserve"> </w:t>
            </w:r>
            <w:r>
              <w:rPr>
                <w:sz w:val="21"/>
              </w:rPr>
              <w:t>«_____»  _____________ 2024 г.</w:t>
            </w:r>
          </w:p>
          <w:p>
            <w:pPr>
              <w:pStyle w:val="Normal"/>
              <w:widowControl w:val="false"/>
              <w:jc w:val="left"/>
              <w:rPr>
                <w:sz w:val="21"/>
              </w:rPr>
            </w:pPr>
            <w:r>
              <w:rPr>
                <w:sz w:val="21"/>
              </w:rPr>
            </w:r>
          </w:p>
        </w:tc>
      </w:tr>
    </w:tbl>
    <w:p>
      <w:pPr>
        <w:sectPr>
          <w:footerReference w:type="even" r:id="rId2"/>
          <w:footerReference w:type="default" r:id="rId3"/>
          <w:footerReference w:type="first" r:id="rId4"/>
          <w:type w:val="nextPage"/>
          <w:pgSz w:w="11906" w:h="16838"/>
          <w:pgMar w:left="1134" w:right="849" w:gutter="0" w:header="0" w:top="426" w:footer="709" w:bottom="766"/>
          <w:pgNumType w:fmt="decimal"/>
          <w:formProt w:val="false"/>
          <w:textDirection w:val="lrTb"/>
          <w:docGrid w:type="default" w:linePitch="100" w:charSpace="0"/>
        </w:sectPr>
      </w:pPr>
    </w:p>
    <w:p>
      <w:pPr>
        <w:pStyle w:val="Normal"/>
        <w:shd w:val="clear" w:color="auto" w:fill="FFFFFF"/>
        <w:tabs>
          <w:tab w:val="clear" w:pos="720"/>
          <w:tab w:val="left" w:pos="6869" w:leader="underscore"/>
          <w:tab w:val="left" w:pos="8568" w:leader="underscore"/>
        </w:tabs>
        <w:jc w:val="right"/>
        <w:rPr>
          <w:rFonts w:ascii="Times New Roman" w:hAnsi="Times New Roman" w:cs="Times New Roman"/>
        </w:rPr>
      </w:pPr>
      <w:r>
        <w:rPr>
          <w:rFonts w:cs="Times New Roman"/>
        </w:rPr>
        <w:t xml:space="preserve">                                                 </w:t>
      </w:r>
      <w:r>
        <w:rPr>
          <w:rFonts w:cs="Times New Roman"/>
        </w:rPr>
        <w:t>Приложение  № 2 к Договору  №      /К-</w:t>
      </w:r>
      <w:r>
        <w:rPr>
          <w:rFonts w:cs="Times New Roman"/>
          <w:lang w:val="en-US"/>
        </w:rPr>
        <w:t>GSM</w:t>
      </w:r>
      <w:r>
        <w:rPr>
          <w:rFonts w:cs="Times New Roman"/>
        </w:rPr>
        <w:t xml:space="preserve">  от «__» __________202 </w:t>
      </w:r>
      <w:r>
        <w:rPr>
          <w:rFonts w:cs="Times New Roman"/>
          <w:spacing w:val="-6"/>
        </w:rPr>
        <w:t>года.</w:t>
      </w:r>
    </w:p>
    <w:p>
      <w:pPr>
        <w:pStyle w:val="Normal"/>
        <w:shd w:val="clear" w:color="auto" w:fill="FFFFFF"/>
        <w:spacing w:before="240" w:after="0"/>
        <w:ind w:hanging="0" w:left="0" w:right="0"/>
        <w:jc w:val="center"/>
        <w:rPr>
          <w:rFonts w:ascii="Times New Roman" w:hAnsi="Times New Roman" w:cs="Times New Roman"/>
        </w:rPr>
      </w:pPr>
      <w:r>
        <w:rPr>
          <w:rFonts w:cs="Times New Roman"/>
        </w:rPr>
        <w:t>Инструкция</w:t>
      </w:r>
    </w:p>
    <w:p>
      <w:pPr>
        <w:pStyle w:val="Normal"/>
        <w:shd w:val="clear" w:color="auto" w:fill="FFFFFF"/>
        <w:jc w:val="center"/>
        <w:rPr>
          <w:rFonts w:ascii="Times New Roman" w:hAnsi="Times New Roman" w:cs="Times New Roman"/>
          <w:sz w:val="24"/>
          <w:szCs w:val="24"/>
        </w:rPr>
      </w:pPr>
      <w:r>
        <w:rPr>
          <w:rFonts w:cs="Times New Roman"/>
          <w:spacing w:val="-1"/>
          <w:sz w:val="24"/>
          <w:szCs w:val="24"/>
        </w:rPr>
        <w:t>О порядке по</w:t>
      </w:r>
      <w:r>
        <w:rPr>
          <w:rFonts w:cs="Times New Roman"/>
          <w:spacing w:val="-1"/>
          <w:sz w:val="24"/>
          <w:szCs w:val="24"/>
          <w:highlight w:val="white"/>
        </w:rPr>
        <w:t>льзования средствами охранно- пожарной  сигнализации.</w:t>
      </w:r>
    </w:p>
    <w:p>
      <w:pPr>
        <w:pStyle w:val="Normal"/>
        <w:shd w:val="clear" w:color="auto" w:fill="FFFFFF"/>
        <w:ind w:firstLine="533" w:left="0" w:right="0"/>
        <w:jc w:val="both"/>
        <w:rPr>
          <w:highlight w:val="white"/>
        </w:rPr>
      </w:pPr>
      <w:r>
        <w:rPr>
          <w:rFonts w:cs="Times New Roman"/>
          <w:highlight w:val="white"/>
        </w:rPr>
        <w:t>Исполнение пунктов данной инструкции является обязательным для всех ответственных лиц осуществляющих постановку и снятие объекта с охраны.</w:t>
      </w:r>
    </w:p>
    <w:p>
      <w:pPr>
        <w:pStyle w:val="Normal"/>
        <w:shd w:val="clear" w:color="auto" w:fill="FFFFFF"/>
        <w:tabs>
          <w:tab w:val="clear" w:pos="720"/>
          <w:tab w:val="left" w:pos="2794" w:leader="none"/>
          <w:tab w:val="left" w:pos="4954" w:leader="none"/>
          <w:tab w:val="left" w:pos="7128" w:leader="none"/>
        </w:tabs>
        <w:ind w:firstLine="538" w:left="0" w:right="0"/>
        <w:jc w:val="both"/>
        <w:rPr>
          <w:highlight w:val="white"/>
        </w:rPr>
      </w:pPr>
      <w:r>
        <w:rPr>
          <w:rFonts w:cs="Times New Roman"/>
          <w:highlight w:val="white"/>
        </w:rPr>
        <w:t xml:space="preserve">Лица, имеющие право осуществлять данные действия определяются внутренним приказом руководителя объекта охраняемого с помощью </w:t>
      </w:r>
      <w:r>
        <w:rPr>
          <w:rFonts w:cs="Times New Roman"/>
          <w:spacing w:val="-1"/>
          <w:highlight w:val="white"/>
        </w:rPr>
        <w:t>технических</w:t>
      </w:r>
      <w:r>
        <w:rPr>
          <w:rFonts w:cs="Times New Roman"/>
          <w:highlight w:val="white"/>
        </w:rPr>
        <w:t xml:space="preserve"> </w:t>
      </w:r>
      <w:r>
        <w:rPr>
          <w:rFonts w:cs="Times New Roman"/>
          <w:spacing w:val="-4"/>
          <w:highlight w:val="white"/>
        </w:rPr>
        <w:t>средств</w:t>
      </w:r>
      <w:r>
        <w:rPr>
          <w:rFonts w:cs="Times New Roman"/>
          <w:highlight w:val="white"/>
        </w:rPr>
        <w:t xml:space="preserve"> </w:t>
      </w:r>
      <w:r>
        <w:rPr>
          <w:rFonts w:cs="Times New Roman"/>
          <w:spacing w:val="-2"/>
          <w:highlight w:val="white"/>
        </w:rPr>
        <w:t xml:space="preserve">охраны </w:t>
      </w:r>
      <w:r>
        <w:rPr>
          <w:rFonts w:cs="Times New Roman"/>
          <w:spacing w:val="-3"/>
          <w:highlight w:val="white"/>
        </w:rPr>
        <w:t xml:space="preserve">подразделением </w:t>
      </w:r>
      <w:r>
        <w:rPr>
          <w:rFonts w:cs="Times New Roman"/>
          <w:highlight w:val="white"/>
        </w:rPr>
        <w:t>вневедомственной охраны.</w:t>
      </w:r>
    </w:p>
    <w:p>
      <w:pPr>
        <w:pStyle w:val="Normal"/>
        <w:shd w:val="clear" w:color="auto" w:fill="FFFFFF"/>
        <w:ind w:firstLine="528" w:left="0" w:right="0"/>
        <w:jc w:val="both"/>
        <w:rPr>
          <w:highlight w:val="white"/>
        </w:rPr>
      </w:pPr>
      <w:r>
        <w:rPr>
          <w:rFonts w:cs="Times New Roman"/>
          <w:highlight w:val="white"/>
        </w:rPr>
        <w:t>Нарушение пунктов данной инструкции влечет за собой снятие с отдела вневедомственной охраны ответственности за сохранность материальных ценностей находящихся на охраняемом объекте.</w:t>
      </w:r>
    </w:p>
    <w:p>
      <w:pPr>
        <w:pStyle w:val="Normal"/>
        <w:numPr>
          <w:ilvl w:val="0"/>
          <w:numId w:val="0"/>
        </w:numPr>
        <w:shd w:val="clear" w:color="auto" w:fill="FFFFFF"/>
        <w:tabs>
          <w:tab w:val="clear" w:pos="720"/>
          <w:tab w:val="left" w:pos="426" w:leader="none"/>
        </w:tabs>
        <w:spacing w:before="5" w:after="0"/>
        <w:ind w:hanging="0" w:left="0" w:right="0"/>
        <w:jc w:val="both"/>
        <w:rPr>
          <w:highlight w:val="white"/>
        </w:rPr>
      </w:pPr>
      <w:r>
        <w:rPr>
          <w:rFonts w:cs="Times New Roman"/>
          <w:highlight w:val="white"/>
        </w:rPr>
        <w:t>1. Каждое материально ответственное лицо (далее по тексту хозорган) имеющее право на постановку и снятие объекта под охрану, определенное внутренним приказом учреждения, несет персональную ответственность за разглашение информации о принципах работы системы сигнализации, порядком постановки и снятия ее с охраны, секретных паролей, для осуществления сдачи и постановки объекта под охрану.</w:t>
      </w:r>
    </w:p>
    <w:p>
      <w:pPr>
        <w:pStyle w:val="Normal"/>
        <w:numPr>
          <w:ilvl w:val="0"/>
          <w:numId w:val="0"/>
        </w:numPr>
        <w:shd w:val="clear" w:color="auto" w:fill="FFFFFF"/>
        <w:tabs>
          <w:tab w:val="clear" w:pos="720"/>
          <w:tab w:val="left" w:pos="426" w:leader="none"/>
        </w:tabs>
        <w:spacing w:lineRule="exact" w:line="227" w:before="5" w:after="0"/>
        <w:ind w:hanging="0" w:left="0" w:right="0"/>
        <w:jc w:val="both"/>
        <w:rPr>
          <w:highlight w:val="white"/>
        </w:rPr>
      </w:pPr>
      <w:r>
        <w:rPr>
          <w:rFonts w:cs="Times New Roman"/>
          <w:highlight w:val="white"/>
        </w:rPr>
        <w:t>2. Кл</w:t>
      </w:r>
      <w:r>
        <w:rPr>
          <w:rFonts w:cs="Times New Roman"/>
          <w:sz w:val="20"/>
          <w:szCs w:val="20"/>
          <w:highlight w:val="white"/>
        </w:rPr>
        <w:t xml:space="preserve">юч </w:t>
      </w:r>
      <w:r>
        <w:rPr>
          <w:rFonts w:cs="Times New Roman"/>
          <w:sz w:val="20"/>
          <w:szCs w:val="20"/>
          <w:highlight w:val="white"/>
          <w:lang w:val="en-US"/>
        </w:rPr>
        <w:t>Touch</w:t>
      </w:r>
      <w:r>
        <w:rPr>
          <w:rFonts w:cs="Times New Roman"/>
          <w:sz w:val="20"/>
          <w:szCs w:val="20"/>
          <w:highlight w:val="white"/>
        </w:rPr>
        <w:t xml:space="preserve"> </w:t>
      </w:r>
      <w:r>
        <w:rPr>
          <w:rFonts w:cs="Times New Roman"/>
          <w:sz w:val="20"/>
          <w:szCs w:val="20"/>
          <w:highlight w:val="white"/>
          <w:lang w:val="en-US"/>
        </w:rPr>
        <w:t>memory</w:t>
      </w:r>
      <w:r>
        <w:rPr>
          <w:rFonts w:cs="Times New Roman"/>
          <w:sz w:val="20"/>
          <w:szCs w:val="20"/>
          <w:highlight w:val="white"/>
        </w:rPr>
        <w:t xml:space="preserve">, которым осуществляется постановка и снятие объекта под охрану (автоматические системы передачи извещений РСПИ «Струна 5» «БРО -  </w:t>
      </w:r>
      <w:r>
        <w:rPr>
          <w:rFonts w:cs="Times New Roman"/>
          <w:sz w:val="20"/>
          <w:szCs w:val="20"/>
          <w:highlight w:val="white"/>
          <w:lang w:val="en-US"/>
        </w:rPr>
        <w:t>GSM</w:t>
      </w:r>
      <w:r>
        <w:rPr>
          <w:rFonts w:cs="Times New Roman"/>
          <w:sz w:val="20"/>
          <w:szCs w:val="20"/>
          <w:highlight w:val="white"/>
        </w:rPr>
        <w:t xml:space="preserve">» РСПИ «Струна —5 </w:t>
      </w:r>
      <w:r>
        <w:rPr>
          <w:rFonts w:cs="Times New Roman"/>
          <w:sz w:val="20"/>
          <w:szCs w:val="20"/>
          <w:highlight w:val="white"/>
          <w:lang w:val="en-US"/>
        </w:rPr>
        <w:t>GSM</w:t>
      </w:r>
      <w:r>
        <w:rPr>
          <w:rFonts w:cs="Times New Roman"/>
          <w:sz w:val="20"/>
          <w:szCs w:val="20"/>
          <w:highlight w:val="white"/>
        </w:rPr>
        <w:t>» АСПИ «Ахтуба» , «Юпитер»,) является именным и лицо, передавшее его кому-либо, несет ответственность согласно п. 1 настоящей инструкции.</w:t>
      </w:r>
    </w:p>
    <w:p>
      <w:pPr>
        <w:pStyle w:val="Normal"/>
        <w:numPr>
          <w:ilvl w:val="0"/>
          <w:numId w:val="0"/>
        </w:numPr>
        <w:shd w:val="clear" w:color="auto" w:fill="FFFFFF"/>
        <w:tabs>
          <w:tab w:val="clear" w:pos="720"/>
          <w:tab w:val="left" w:pos="426" w:leader="none"/>
        </w:tabs>
        <w:spacing w:before="5" w:after="0"/>
        <w:ind w:hanging="0" w:left="0" w:right="0"/>
        <w:jc w:val="both"/>
        <w:rPr>
          <w:highlight w:val="white"/>
        </w:rPr>
      </w:pPr>
      <w:r>
        <w:rPr>
          <w:rFonts w:cs="Times New Roman"/>
          <w:spacing w:val="-1"/>
          <w:highlight w:val="white"/>
        </w:rPr>
        <w:t xml:space="preserve">3. Запрещается оставлять ключи </w:t>
      </w:r>
      <w:r>
        <w:rPr>
          <w:rFonts w:cs="Times New Roman"/>
          <w:spacing w:val="-1"/>
          <w:highlight w:val="white"/>
          <w:lang w:val="en-US"/>
        </w:rPr>
        <w:t>Touch</w:t>
      </w:r>
      <w:r>
        <w:rPr>
          <w:rFonts w:cs="Times New Roman"/>
          <w:spacing w:val="-1"/>
          <w:highlight w:val="white"/>
        </w:rPr>
        <w:t xml:space="preserve"> </w:t>
      </w:r>
      <w:r>
        <w:rPr>
          <w:rFonts w:cs="Times New Roman"/>
          <w:spacing w:val="-1"/>
          <w:highlight w:val="white"/>
          <w:lang w:val="en-US"/>
        </w:rPr>
        <w:t>memory</w:t>
      </w:r>
      <w:r>
        <w:rPr>
          <w:rFonts w:cs="Times New Roman"/>
          <w:spacing w:val="-1"/>
          <w:highlight w:val="white"/>
        </w:rPr>
        <w:t xml:space="preserve"> в легкодоступных местах, </w:t>
      </w:r>
      <w:r>
        <w:rPr>
          <w:rFonts w:cs="Times New Roman"/>
          <w:highlight w:val="white"/>
        </w:rPr>
        <w:t>где к ним возможен доступ третьих лиц, даже на непродолжительное время.</w:t>
      </w:r>
    </w:p>
    <w:p>
      <w:pPr>
        <w:pStyle w:val="Normal"/>
        <w:numPr>
          <w:ilvl w:val="0"/>
          <w:numId w:val="0"/>
        </w:numPr>
        <w:shd w:val="clear" w:color="auto" w:fill="FFFFFF"/>
        <w:tabs>
          <w:tab w:val="clear" w:pos="720"/>
          <w:tab w:val="left" w:pos="426" w:leader="none"/>
        </w:tabs>
        <w:spacing w:before="5" w:after="0"/>
        <w:ind w:hanging="0" w:left="0" w:right="0"/>
        <w:jc w:val="both"/>
        <w:rPr>
          <w:highlight w:val="white"/>
        </w:rPr>
      </w:pPr>
      <w:r>
        <w:rPr>
          <w:rFonts w:cs="Times New Roman"/>
          <w:highlight w:val="white"/>
        </w:rPr>
        <w:t>4. В случае утери ключа хозорган обязан незамедлительно поставить в известность дежурного пульта централизованной охраны по тел</w:t>
      </w:r>
      <w:r>
        <w:rPr>
          <w:rFonts w:cs="Times New Roman"/>
          <w:color w:val="FF0000"/>
          <w:highlight w:val="white"/>
        </w:rPr>
        <w:t xml:space="preserve">: _______________________________; </w:t>
      </w:r>
      <w:r>
        <w:rPr>
          <w:rFonts w:cs="Times New Roman"/>
          <w:highlight w:val="white"/>
        </w:rPr>
        <w:t xml:space="preserve"> и руководство отдела вневедомственной охраны, сообщить об утере руководству объекта.</w:t>
      </w:r>
    </w:p>
    <w:p>
      <w:pPr>
        <w:pStyle w:val="Normal"/>
        <w:numPr>
          <w:ilvl w:val="0"/>
          <w:numId w:val="0"/>
        </w:numPr>
        <w:shd w:val="clear" w:color="auto" w:fill="FFFFFF"/>
        <w:tabs>
          <w:tab w:val="clear" w:pos="720"/>
          <w:tab w:val="left" w:pos="426" w:leader="none"/>
        </w:tabs>
        <w:ind w:hanging="0" w:left="0" w:right="0"/>
        <w:rPr>
          <w:highlight w:val="white"/>
        </w:rPr>
      </w:pPr>
      <w:r>
        <w:rPr>
          <w:rFonts w:cs="Times New Roman"/>
          <w:highlight w:val="white"/>
        </w:rPr>
        <w:t>5. Перед постановкой объекта под охрану хозорган должен:</w:t>
      </w:r>
    </w:p>
    <w:p>
      <w:pPr>
        <w:pStyle w:val="Normal"/>
        <w:widowControl/>
        <w:shd w:val="clear" w:color="auto" w:fill="FFFFFF"/>
        <w:tabs>
          <w:tab w:val="clear" w:pos="720"/>
          <w:tab w:val="left" w:pos="120" w:leader="none"/>
          <w:tab w:val="left" w:pos="450" w:leader="none"/>
        </w:tabs>
        <w:suppressAutoHyphens w:val="true"/>
        <w:bidi w:val="0"/>
        <w:spacing w:lineRule="auto" w:line="240" w:before="0" w:after="0"/>
        <w:ind w:hanging="57" w:left="57" w:right="0"/>
        <w:jc w:val="both"/>
        <w:rPr>
          <w:sz w:val="20"/>
        </w:rPr>
      </w:pPr>
      <w:r>
        <w:rPr>
          <w:rFonts w:cs="Times New Roman"/>
          <w:highlight w:val="white"/>
        </w:rPr>
        <w:t>- убрать в сейфы, либо в специальные хранилища малогаба</w:t>
      </w:r>
      <w:r>
        <w:rPr>
          <w:rFonts w:cs="Times New Roman"/>
        </w:rPr>
        <w:t>ритные материальные ценности (деньги, ювелирные украшения, ценные бумаги, документы, при утрате которых собственник может понести материальный ущерб, малогабаритные дорогостоящие электронные приборы, и т. п.);</w:t>
      </w:r>
    </w:p>
    <w:p>
      <w:pPr>
        <w:pStyle w:val="Normal"/>
        <w:widowControl/>
        <w:shd w:val="clear" w:color="auto" w:fill="FFFFFF"/>
        <w:tabs>
          <w:tab w:val="clear" w:pos="720"/>
          <w:tab w:val="left" w:pos="120" w:leader="none"/>
          <w:tab w:val="left" w:pos="450" w:leader="none"/>
        </w:tabs>
        <w:suppressAutoHyphens w:val="true"/>
        <w:bidi w:val="0"/>
        <w:spacing w:lineRule="auto" w:line="240" w:before="0" w:after="0"/>
        <w:ind w:hanging="57" w:left="57" w:right="0"/>
        <w:jc w:val="both"/>
        <w:rPr>
          <w:sz w:val="20"/>
        </w:rPr>
      </w:pPr>
      <w:r>
        <w:rPr>
          <w:rFonts w:cs="Times New Roman"/>
        </w:rPr>
        <w:t xml:space="preserve">- проверить все помещения, закрыть все окна и форточки на запоры, исключающие их самопроизвольное отрывание, проверить, закрыты ли двери запасных выходов на шпингалеты и запорные устройства, в случае наличия на объекте выходов на крышу и в подвал и непосредственно граничащих с охраняемыми   помещениями   закрыть   их   на   запорные устройства, закрыть на запоры и замки, внутренние решётки на окнах (при </w:t>
      </w:r>
      <w:r>
        <w:rPr>
          <w:rFonts w:cs="Times New Roman"/>
          <w:spacing w:val="-1"/>
        </w:rPr>
        <w:t xml:space="preserve">их наличии на объекте), </w:t>
      </w:r>
      <w:r>
        <w:rPr>
          <w:rFonts w:cs="Times New Roman"/>
          <w:iCs/>
        </w:rPr>
        <w:t xml:space="preserve">а </w:t>
      </w:r>
      <w:r>
        <w:rPr>
          <w:rFonts w:cs="Times New Roman"/>
        </w:rPr>
        <w:t>также решетки и двери внутрен</w:t>
      </w:r>
      <w:r>
        <w:rPr>
          <w:rFonts w:cs="Times New Roman"/>
          <w:color w:val="000000"/>
        </w:rPr>
        <w:t xml:space="preserve">них помещений; </w:t>
      </w:r>
    </w:p>
    <w:p>
      <w:pPr>
        <w:pStyle w:val="Normal"/>
        <w:widowControl/>
        <w:shd w:val="clear" w:color="auto" w:fill="FFFFFF"/>
        <w:tabs>
          <w:tab w:val="clear" w:pos="720"/>
          <w:tab w:val="left" w:pos="120" w:leader="none"/>
          <w:tab w:val="left" w:pos="450" w:leader="none"/>
        </w:tabs>
        <w:suppressAutoHyphens w:val="true"/>
        <w:bidi w:val="0"/>
        <w:spacing w:lineRule="auto" w:line="240" w:before="0" w:after="0"/>
        <w:ind w:hanging="57" w:left="57" w:right="0"/>
        <w:jc w:val="both"/>
        <w:rPr>
          <w:color w:val="000000"/>
        </w:rPr>
      </w:pPr>
      <w:r>
        <w:rPr>
          <w:rFonts w:cs="Times New Roman"/>
          <w:color w:val="000000"/>
        </w:rPr>
        <w:t>- убедится в отсутствии на объекте людей, животных и насекомых , включенных электроприборов и источников огня.</w:t>
      </w:r>
    </w:p>
    <w:p>
      <w:pPr>
        <w:pStyle w:val="Normal"/>
        <w:widowControl/>
        <w:numPr>
          <w:ilvl w:val="0"/>
          <w:numId w:val="2"/>
        </w:numPr>
        <w:shd w:val="clear" w:color="auto" w:fill="FFFFFF"/>
        <w:tabs>
          <w:tab w:val="clear" w:pos="720"/>
          <w:tab w:val="left" w:pos="570" w:leader="none"/>
        </w:tabs>
        <w:suppressAutoHyphens w:val="true"/>
        <w:bidi w:val="0"/>
        <w:spacing w:lineRule="auto" w:line="240" w:before="0" w:after="0"/>
        <w:ind w:hanging="57" w:left="57" w:right="0"/>
        <w:jc w:val="both"/>
        <w:rPr>
          <w:sz w:val="20"/>
        </w:rPr>
      </w:pPr>
      <w:r>
        <w:rPr>
          <w:rFonts w:cs="Times New Roman"/>
        </w:rPr>
        <w:t>6. Перед выходом необходимо включить все контрольные приборы, убедится в том, что источники бесперебойного питания находятся в рабочем состоянии по средствам контроля индикации светодиодов на приборах (в каждом конкретном случаи правила контроля оговариваются индивидуально в зависимости от типа применяемой аппаратуры, согласно памяток пользования охранной сигнализацией).</w:t>
      </w:r>
    </w:p>
    <w:p>
      <w:pPr>
        <w:pStyle w:val="Normal"/>
        <w:widowControl/>
        <w:numPr>
          <w:ilvl w:val="0"/>
          <w:numId w:val="2"/>
        </w:numPr>
        <w:shd w:val="clear" w:color="auto" w:fill="FFFFFF"/>
        <w:suppressAutoHyphens w:val="true"/>
        <w:bidi w:val="0"/>
        <w:spacing w:lineRule="auto" w:line="240" w:before="0" w:after="0"/>
        <w:ind w:firstLine="454" w:left="0" w:right="0"/>
        <w:jc w:val="both"/>
        <w:rPr>
          <w:sz w:val="20"/>
        </w:rPr>
      </w:pPr>
      <w:r>
        <w:rPr>
          <w:rFonts w:cs="Times New Roman"/>
        </w:rPr>
        <w:t>Запрещается постановка объекта под охрану на пульт централизованной охраны при отсутствии на объекте электроэнергии, на аварийно-автономном питании системы сигнализации.</w:t>
      </w:r>
    </w:p>
    <w:p>
      <w:pPr>
        <w:pStyle w:val="Normal"/>
        <w:widowControl/>
        <w:numPr>
          <w:ilvl w:val="0"/>
          <w:numId w:val="2"/>
        </w:numPr>
        <w:shd w:val="clear" w:color="auto" w:fill="FFFFFF"/>
        <w:tabs>
          <w:tab w:val="clear" w:pos="720"/>
          <w:tab w:val="left" w:pos="426" w:leader="none"/>
        </w:tabs>
        <w:suppressAutoHyphens w:val="true"/>
        <w:bidi w:val="0"/>
        <w:spacing w:lineRule="auto" w:line="240" w:before="0" w:after="0"/>
        <w:ind w:firstLine="57" w:left="397" w:right="0"/>
        <w:jc w:val="both"/>
        <w:rPr>
          <w:rFonts w:ascii="Times New Roman" w:hAnsi="Times New Roman" w:cs="Times New Roman"/>
          <w:spacing w:val="-21"/>
        </w:rPr>
      </w:pPr>
      <w:r>
        <w:rPr>
          <w:rFonts w:cs="Times New Roman"/>
        </w:rPr>
        <w:t>Категорически запрещается вносить какие либо конструктивные изменения в систему сигнализации.</w:t>
      </w:r>
    </w:p>
    <w:p>
      <w:pPr>
        <w:pStyle w:val="Normal"/>
        <w:widowControl/>
        <w:numPr>
          <w:ilvl w:val="1"/>
          <w:numId w:val="2"/>
        </w:numPr>
        <w:shd w:val="clear" w:color="auto" w:fill="FFFFFF"/>
        <w:tabs>
          <w:tab w:val="clear" w:pos="720"/>
          <w:tab w:val="left" w:pos="426" w:leader="none"/>
        </w:tabs>
        <w:suppressAutoHyphens w:val="true"/>
        <w:bidi w:val="0"/>
        <w:spacing w:lineRule="auto" w:line="240" w:before="0" w:after="0"/>
        <w:ind w:firstLine="454" w:left="0" w:right="0"/>
        <w:jc w:val="both"/>
        <w:rPr>
          <w:rFonts w:ascii="Times New Roman" w:hAnsi="Times New Roman" w:cs="Times New Roman"/>
          <w:spacing w:val="-14"/>
        </w:rPr>
      </w:pPr>
      <w:r>
        <w:rPr>
          <w:rFonts w:cs="Times New Roman"/>
        </w:rPr>
        <w:t xml:space="preserve">При обнаружении на объекте, каких либо неисправностей технических средств охраны либо фактов постореннего вмешательства в систему сигнализации (открытая либо, со следами постороннего вмешательства панель контрольного прибора, скрученных проводов ведущих к датчикам и приборам системы сигнализации, появление дополнительных приборов подключенных к имеющейся системе сигнализации и т. п.) незамедлительно сообщить о данном факте дежурному пульта централизованной охраны ОВО по тел: </w:t>
      </w:r>
      <w:r>
        <w:rPr>
          <w:rFonts w:cs="Times New Roman"/>
          <w:color w:val="FF0000"/>
        </w:rPr>
        <w:t>_______________________________________________</w:t>
      </w:r>
      <w:r>
        <w:rPr>
          <w:rFonts w:cs="Times New Roman"/>
        </w:rPr>
        <w:t xml:space="preserve">, а так же руководству объекта. Категорически запрещается постановка под охрану объекта в случаи выявления вышеуказанных обстоятельств, следует незамедлительно вызвать на объект электромонтера обслуживающей организации  для проведения им обследования сигнализации на предмет ее работоспособности, провести контрольное срабатывание сигнализации. Все выше указанные мероприятия при обнаружении постороннего вмешательств в систему сигнализации по её обследованию следует </w:t>
      </w:r>
      <w:r>
        <w:rPr>
          <w:rFonts w:cs="Times New Roman"/>
          <w:spacing w:val="-1"/>
        </w:rPr>
        <w:t xml:space="preserve">проводить в присутствии специалиста инженерно-технической службы </w:t>
      </w:r>
      <w:r>
        <w:rPr>
          <w:rFonts w:cs="Times New Roman"/>
        </w:rPr>
        <w:t>отдела вневедомственной охраны.</w:t>
      </w:r>
    </w:p>
    <w:p>
      <w:pPr>
        <w:pStyle w:val="Normal"/>
        <w:numPr>
          <w:ilvl w:val="0"/>
          <w:numId w:val="2"/>
        </w:numPr>
        <w:shd w:val="clear" w:color="auto" w:fill="FFFFFF"/>
        <w:tabs>
          <w:tab w:val="clear" w:pos="720"/>
          <w:tab w:val="left" w:pos="426" w:leader="none"/>
        </w:tabs>
        <w:ind w:hanging="426" w:left="426" w:right="0"/>
        <w:jc w:val="both"/>
        <w:rPr/>
      </w:pPr>
      <w:r>
        <w:rPr>
          <w:rFonts w:cs="Times New Roman"/>
        </w:rPr>
        <w:t>Постановка и снятие объекта под охрану осуществлять во время указанном в приложении к договору.</w:t>
      </w:r>
    </w:p>
    <w:p>
      <w:pPr>
        <w:pStyle w:val="Normal"/>
        <w:widowControl/>
        <w:numPr>
          <w:ilvl w:val="0"/>
          <w:numId w:val="2"/>
        </w:numPr>
        <w:shd w:val="clear" w:color="auto" w:fill="FFFFFF"/>
        <w:tabs>
          <w:tab w:val="clear" w:pos="720"/>
          <w:tab w:val="left" w:pos="225" w:leader="none"/>
        </w:tabs>
        <w:suppressAutoHyphens w:val="true"/>
        <w:bidi w:val="0"/>
        <w:spacing w:lineRule="auto" w:line="240" w:before="0" w:after="0"/>
        <w:ind w:firstLine="510" w:left="0" w:right="0"/>
        <w:jc w:val="both"/>
        <w:rPr/>
      </w:pPr>
      <w:r>
        <w:rPr>
          <w:rFonts w:cs="Times New Roman"/>
        </w:rPr>
        <w:t xml:space="preserve">Постановка и снятие объекта под охрану производится в следующем порядке: установить ключ </w:t>
      </w:r>
      <w:r>
        <w:rPr>
          <w:rFonts w:cs="Times New Roman"/>
          <w:lang w:val="en-US"/>
        </w:rPr>
        <w:t>Touch</w:t>
      </w:r>
      <w:r>
        <w:rPr>
          <w:rFonts w:cs="Times New Roman"/>
        </w:rPr>
        <w:t xml:space="preserve"> </w:t>
      </w:r>
      <w:r>
        <w:rPr>
          <w:rFonts w:cs="Times New Roman"/>
          <w:lang w:val="en-US"/>
        </w:rPr>
        <w:t>memory</w:t>
      </w:r>
      <w:r>
        <w:rPr>
          <w:rFonts w:cs="Times New Roman"/>
        </w:rPr>
        <w:t xml:space="preserve"> для систем передачи извещений,</w:t>
      </w:r>
      <w:r>
        <w:rPr>
          <w:rFonts w:cs="Times New Roman"/>
          <w:sz w:val="20"/>
          <w:szCs w:val="20"/>
        </w:rPr>
        <w:t xml:space="preserve"> РСПИ «Струна — 5» «БРО </w:t>
      </w:r>
      <w:r>
        <w:rPr>
          <w:rFonts w:cs="Times New Roman"/>
          <w:sz w:val="20"/>
          <w:szCs w:val="20"/>
          <w:lang w:val="en-US"/>
        </w:rPr>
        <w:t>GSM</w:t>
      </w:r>
      <w:r>
        <w:rPr>
          <w:rFonts w:cs="Times New Roman"/>
          <w:sz w:val="20"/>
          <w:szCs w:val="20"/>
        </w:rPr>
        <w:t>»</w:t>
      </w:r>
      <w:r>
        <w:rPr>
          <w:rFonts w:cs="Times New Roman"/>
        </w:rPr>
        <w:t xml:space="preserve"> </w:t>
      </w:r>
      <w:r>
        <w:rPr>
          <w:rFonts w:cs="Times New Roman"/>
          <w:sz w:val="20"/>
          <w:szCs w:val="20"/>
        </w:rPr>
        <w:t xml:space="preserve">РСПИ «Струна —5 </w:t>
      </w:r>
      <w:r>
        <w:rPr>
          <w:rFonts w:cs="Times New Roman"/>
          <w:sz w:val="20"/>
          <w:szCs w:val="20"/>
          <w:lang w:val="en-US"/>
        </w:rPr>
        <w:t xml:space="preserve">GSM АСПИ «Ахтуба» </w:t>
      </w:r>
      <w:r>
        <w:rPr>
          <w:rFonts w:cs="Times New Roman"/>
        </w:rPr>
        <w:t>в гнездо считывателя (объект взят под охрану после включения пульсирующего светового сигнала, светодиод горит красным цветом), объект снят с охраны после выключения светодиода (у одношлейфного блока «Ахтуба»), кратковременное включение светового индикатора (зелёный цвет светодиода).</w:t>
      </w:r>
    </w:p>
    <w:p>
      <w:pPr>
        <w:pStyle w:val="Normal"/>
        <w:widowControl/>
        <w:numPr>
          <w:ilvl w:val="0"/>
          <w:numId w:val="2"/>
        </w:numPr>
        <w:shd w:val="clear" w:color="auto" w:fill="FFFFFF"/>
        <w:tabs>
          <w:tab w:val="clear" w:pos="720"/>
          <w:tab w:val="left" w:pos="426" w:leader="none"/>
        </w:tabs>
        <w:suppressAutoHyphens w:val="true"/>
        <w:bidi w:val="0"/>
        <w:spacing w:lineRule="auto" w:line="240" w:before="0" w:after="0"/>
        <w:ind w:firstLine="510" w:left="0" w:right="0"/>
        <w:jc w:val="both"/>
        <w:rPr>
          <w:rFonts w:ascii="Times New Roman" w:hAnsi="Times New Roman" w:cs="Times New Roman"/>
          <w:spacing w:val="-1"/>
        </w:rPr>
      </w:pPr>
      <w:r>
        <w:rPr>
          <w:rFonts w:cs="Times New Roman"/>
        </w:rPr>
        <w:t xml:space="preserve">Запрещается производить снятие объекта с охраны в охраняемое время согласного действующего приложения к договору. В случаи крайней необходимости объект может быть снят с охраны и открыт хозорганом только после уведомления дежурного пульта централизованного наблюдения по тел: </w:t>
      </w:r>
      <w:r>
        <w:rPr>
          <w:rFonts w:cs="Times New Roman"/>
          <w:color w:val="FF0000"/>
        </w:rPr>
        <w:t>_______________________________</w:t>
      </w:r>
      <w:r>
        <w:rPr>
          <w:rFonts w:cs="Times New Roman"/>
        </w:rPr>
        <w:t>, в присутствии сотрудников ОВО осуществляющих охрану данного объекта (группа задержания ОВО) и только после подтверждения о разрешении снять объект с охраны руководителя данного объекта</w:t>
      </w:r>
    </w:p>
    <w:p>
      <w:pPr>
        <w:pStyle w:val="Normal"/>
        <w:shd w:val="clear" w:color="auto" w:fill="FFFFFF"/>
        <w:tabs>
          <w:tab w:val="clear" w:pos="720"/>
          <w:tab w:val="left" w:pos="426" w:leader="none"/>
        </w:tabs>
        <w:jc w:val="both"/>
        <w:rPr>
          <w:rFonts w:ascii="Times New Roman" w:hAnsi="Times New Roman" w:cs="Times New Roman"/>
          <w:b/>
          <w:spacing w:val="-1"/>
        </w:rPr>
      </w:pPr>
      <w:r>
        <w:rPr>
          <w:rFonts w:cs="Times New Roman"/>
          <w:b/>
          <w:spacing w:val="-1"/>
        </w:rPr>
        <w:t xml:space="preserve">                      </w:t>
      </w:r>
      <w:r>
        <w:rPr>
          <w:rFonts w:cs="Times New Roman"/>
          <w:b/>
          <w:spacing w:val="-1"/>
        </w:rPr>
        <w:t>КЛИЕНТ (ознакомлен)                                                                            _____________ /</w:t>
      </w:r>
      <w:bookmarkStart w:id="0" w:name="_GoBack"/>
      <w:bookmarkEnd w:id="0"/>
      <w:r>
        <w:rPr>
          <w:rFonts w:cs="Times New Roman"/>
          <w:b/>
          <w:spacing w:val="-1"/>
        </w:rPr>
        <w:t>_______________/</w:t>
      </w:r>
    </w:p>
    <w:p>
      <w:pPr>
        <w:pStyle w:val="Normal"/>
        <w:shd w:val="clear" w:color="auto" w:fill="FFFFFF"/>
        <w:tabs>
          <w:tab w:val="clear" w:pos="720"/>
          <w:tab w:val="left" w:pos="426" w:leader="none"/>
        </w:tabs>
        <w:spacing w:before="0" w:after="120"/>
        <w:ind w:hanging="0" w:left="0" w:right="0"/>
        <w:jc w:val="both"/>
        <w:rPr>
          <w:rFonts w:ascii="Times New Roman" w:hAnsi="Times New Roman" w:cs="Times New Roman"/>
          <w:spacing w:val="-1"/>
        </w:rPr>
      </w:pPr>
      <w:r>
        <w:rPr>
          <w:rFonts w:cs="Times New Roman"/>
          <w:b/>
          <w:spacing w:val="-1"/>
        </w:rPr>
        <w:t xml:space="preserve">                                                                                                                                           </w:t>
      </w:r>
      <w:r>
        <w:rPr>
          <w:rFonts w:cs="Times New Roman"/>
          <w:b/>
          <w:spacing w:val="-1"/>
        </w:rPr>
        <w:t>М.П.</w:t>
      </w:r>
    </w:p>
    <w:sectPr>
      <w:footerReference w:type="even" r:id="rId5"/>
      <w:footerReference w:type="default" r:id="rId6"/>
      <w:footerReference w:type="first" r:id="rId7"/>
      <w:type w:val="nextPage"/>
      <w:pgSz w:w="11906" w:h="16838"/>
      <w:pgMar w:left="1170" w:right="836" w:gutter="0" w:header="0" w:top="426" w:footer="709" w:bottom="766"/>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XO Thames">
    <w:charset w:val="01"/>
    <w:family w:val="roman"/>
    <w:pitch w:val="default"/>
  </w:font>
  <w:font w:name="Courier New">
    <w:charset w:val="01"/>
    <w:family w:val="roman"/>
    <w:pitch w:val="default"/>
  </w:font>
  <w:font w:name="Tahoma">
    <w:charset w:val="01"/>
    <w:family w:val="roman"/>
    <w:pitch w:val="default"/>
  </w:font>
  <w:font w:name="PT Sans">
    <w:charset w:val="01"/>
    <w:family w:val="roman"/>
    <w:pitch w:val="default"/>
  </w:font>
  <w:font w:name="Arial">
    <w:charset w:val="01"/>
    <w:family w:val="swiss"/>
    <w:pitch w:val="default"/>
  </w:font>
  <w:font w:name="Calibri">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hanging="0" w:left="0" w:right="360"/>
      <w:rPr/>
    </w:pPr>
    <w:r>
      <w:rPr/>
      <mc:AlternateContent>
        <mc:Choice Requires="wps">
          <w:drawing>
            <wp:anchor behindDoc="1" distT="0" distB="1270" distL="0" distR="0" simplePos="0" locked="0" layoutInCell="0" allowOverlap="1" relativeHeight="12">
              <wp:simplePos x="0" y="0"/>
              <wp:positionH relativeFrom="margin">
                <wp:align>right</wp:align>
              </wp:positionH>
              <wp:positionV relativeFrom="paragraph">
                <wp:posOffset>635</wp:posOffset>
              </wp:positionV>
              <wp:extent cx="72390" cy="153670"/>
              <wp:effectExtent l="0" t="0" r="0" b="0"/>
              <wp:wrapSquare wrapText="largest"/>
              <wp:docPr id="1" name="Picture 1"/>
              <a:graphic xmlns:a="http://schemas.openxmlformats.org/drawingml/2006/main">
                <a:graphicData uri="http://schemas.microsoft.com/office/word/2010/wordprocessingShape">
                  <wps:wsp>
                    <wps:cNvSpPr/>
                    <wps:spPr>
                      <a:xfrm>
                        <a:off x="0" y="0"/>
                        <a:ext cx="72360" cy="153720"/>
                      </a:xfrm>
                      <a:prstGeom prst="rect">
                        <a:avLst/>
                      </a:prstGeom>
                      <a:noFill/>
                      <a:ln w="0">
                        <a:noFill/>
                      </a:ln>
                    </wps:spPr>
                    <wps:style>
                      <a:lnRef idx="0"/>
                      <a:fillRef idx="0"/>
                      <a:effectRef idx="0"/>
                      <a:fontRef idx="minor"/>
                    </wps:style>
                    <wps:txbx>
                      <w:txbxContent>
                        <w:p>
                          <w:pPr>
                            <w:pStyle w:val="19"/>
                            <w:rPr>
                              <w:rFonts w:ascii="Calibri" w:hAnsi="Calibri" w:asciiTheme="minorAscii" w:hAnsiTheme="minorHAnsi"/>
                            </w:rPr>
                          </w:pPr>
                          <w:r>
                            <w:rPr>
                              <w:rFonts w:asciiTheme="minorAscii" w:hAnsiTheme="minorHAnsi" w:ascii="Calibri" w:hAnsi="Calibri"/>
                            </w:rPr>
                          </w:r>
                        </w:p>
                      </w:txbxContent>
                    </wps:txbx>
                    <wps:bodyPr lIns="0" rIns="0" tIns="0" bIns="0" anchor="t">
                      <a:spAutoFit/>
                    </wps:bodyPr>
                  </wps:wsp>
                </a:graphicData>
              </a:graphic>
            </wp:anchor>
          </w:drawing>
        </mc:Choice>
        <mc:Fallback>
          <w:pict>
            <v:rect id="shape_0" ID="Picture 1" path="m0,0l-2147483645,0l-2147483645,-2147483646l0,-2147483646xe" stroked="f" o:allowincell="f" style="position:absolute;margin-left:490.4pt;margin-top:0.05pt;width:5.65pt;height:12.05pt;mso-wrap-style:none;v-text-anchor:middle;mso-position-horizontal:right;mso-position-horizontal-relative:margin">
              <v:fill o:detectmouseclick="t" on="false"/>
              <v:stroke color="#3465a4" joinstyle="round" endcap="flat"/>
              <v:textbox>
                <w:txbxContent>
                  <w:p>
                    <w:pPr>
                      <w:pStyle w:val="19"/>
                      <w:rPr>
                        <w:rFonts w:ascii="Calibri" w:hAnsi="Calibri" w:asciiTheme="minorAscii" w:hAnsiTheme="minorHAnsi"/>
                      </w:rPr>
                    </w:pPr>
                    <w:r>
                      <w:rPr>
                        <w:rFonts w:asciiTheme="minorAscii" w:hAnsiTheme="minorHAnsi" w:ascii="Calibri" w:hAnsi="Calibri"/>
                      </w:rPr>
                    </w:r>
                  </w:p>
                </w:txbxContent>
              </v:textbox>
              <w10:wrap type="square" side="largest"/>
            </v:rect>
          </w:pict>
        </mc:Fallback>
      </mc:AlternateContent>
      <mc:AlternateContent>
        <mc:Choice Requires="wps">
          <w:drawing>
            <wp:anchor behindDoc="1" distT="0" distB="0" distL="0" distR="0" simplePos="0" locked="0" layoutInCell="0" allowOverlap="1" relativeHeight="24">
              <wp:simplePos x="0" y="0"/>
              <wp:positionH relativeFrom="margin">
                <wp:align>left</wp:align>
              </wp:positionH>
              <wp:positionV relativeFrom="paragraph">
                <wp:posOffset>635</wp:posOffset>
              </wp:positionV>
              <wp:extent cx="71755" cy="145415"/>
              <wp:effectExtent l="0" t="0" r="0" b="0"/>
              <wp:wrapSquare wrapText="largest"/>
              <wp:docPr id="2" name="Врезка2"/>
              <a:graphic xmlns:a="http://schemas.openxmlformats.org/drawingml/2006/main">
                <a:graphicData uri="http://schemas.microsoft.com/office/word/2010/wordprocessingShape">
                  <wps:wsp>
                    <wps:cNvSpPr/>
                    <wps:spPr>
                      <a:xfrm>
                        <a:off x="0" y="0"/>
                        <a:ext cx="71640" cy="145440"/>
                      </a:xfrm>
                      <a:prstGeom prst="rect">
                        <a:avLst/>
                      </a:prstGeom>
                      <a:noFill/>
                      <a:ln w="0">
                        <a:noFill/>
                      </a:ln>
                    </wps:spPr>
                    <wps:style>
                      <a:lnRef idx="0"/>
                      <a:fillRef idx="0"/>
                      <a:effectRef idx="0"/>
                      <a:fontRef idx="minor"/>
                    </wps:style>
                    <wps:txbx>
                      <w:txbxContent>
                        <w:p>
                          <w:pPr>
                            <w:pStyle w:val="Normal"/>
                            <w:rPr/>
                          </w:pPr>
                          <w:r>
                            <w:rPr>
                              <w:color w:val="000000"/>
                            </w:rPr>
                            <w:fldChar w:fldCharType="begin"/>
                          </w:r>
                          <w:r>
                            <w:rPr>
                              <w:color w:val="000000"/>
                            </w:rPr>
                            <w:instrText xml:space="preserve"> PAGE </w:instrText>
                          </w:r>
                          <w:r>
                            <w:rPr>
                              <w:color w:val="000000"/>
                            </w:rPr>
                            <w:fldChar w:fldCharType="separate"/>
                          </w:r>
                          <w:r>
                            <w:rPr>
                              <w:color w:val="000000"/>
                            </w:rPr>
                            <w:t>5</w:t>
                          </w:r>
                          <w:r>
                            <w:rPr>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0.05pt;margin-top:0.05pt;width:5.6pt;height:11.4pt;mso-wrap-style:square;v-text-anchor:top;mso-position-horizontal:left;mso-position-horizontal-relative:margin">
              <v:fill o:detectmouseclick="t" on="false"/>
              <v:stroke color="#3465a4" joinstyle="round" endcap="flat"/>
              <v:textbox>
                <w:txbxContent>
                  <w:p>
                    <w:pPr>
                      <w:pStyle w:val="Normal"/>
                      <w:rPr/>
                    </w:pPr>
                    <w:r>
                      <w:rPr>
                        <w:color w:val="000000"/>
                      </w:rPr>
                      <w:fldChar w:fldCharType="begin"/>
                    </w:r>
                    <w:r>
                      <w:rPr>
                        <w:color w:val="000000"/>
                      </w:rPr>
                      <w:instrText xml:space="preserve"> PAGE </w:instrText>
                    </w:r>
                    <w:r>
                      <w:rPr>
                        <w:color w:val="000000"/>
                      </w:rPr>
                      <w:fldChar w:fldCharType="separate"/>
                    </w:r>
                    <w:r>
                      <w:rPr>
                        <w:color w:val="000000"/>
                      </w:rPr>
                      <w:t>5</w:t>
                    </w:r>
                    <w:r>
                      <w:rPr>
                        <w:color w:val="000000"/>
                      </w:rPr>
                      <w:fldChar w:fldCharType="end"/>
                    </w:r>
                  </w:p>
                </w:txbxContent>
              </v:textbox>
              <w10:wrap type="square" side="largest"/>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hanging="0" w:left="0" w:right="360"/>
      <w:rPr/>
    </w:pPr>
    <w:r>
      <w:rPr/>
      <mc:AlternateContent>
        <mc:Choice Requires="wps">
          <w:drawing>
            <wp:anchor behindDoc="1" distT="0" distB="1270" distL="0" distR="0" simplePos="0" locked="0" layoutInCell="0" allowOverlap="1" relativeHeight="12">
              <wp:simplePos x="0" y="0"/>
              <wp:positionH relativeFrom="margin">
                <wp:align>right</wp:align>
              </wp:positionH>
              <wp:positionV relativeFrom="paragraph">
                <wp:posOffset>635</wp:posOffset>
              </wp:positionV>
              <wp:extent cx="72390" cy="153670"/>
              <wp:effectExtent l="0" t="0" r="0" b="0"/>
              <wp:wrapSquare wrapText="largest"/>
              <wp:docPr id="3" name="Picture 1"/>
              <a:graphic xmlns:a="http://schemas.openxmlformats.org/drawingml/2006/main">
                <a:graphicData uri="http://schemas.microsoft.com/office/word/2010/wordprocessingShape">
                  <wps:wsp>
                    <wps:cNvSpPr/>
                    <wps:spPr>
                      <a:xfrm>
                        <a:off x="0" y="0"/>
                        <a:ext cx="72360" cy="153720"/>
                      </a:xfrm>
                      <a:prstGeom prst="rect">
                        <a:avLst/>
                      </a:prstGeom>
                      <a:noFill/>
                      <a:ln w="0">
                        <a:noFill/>
                      </a:ln>
                    </wps:spPr>
                    <wps:style>
                      <a:lnRef idx="0"/>
                      <a:fillRef idx="0"/>
                      <a:effectRef idx="0"/>
                      <a:fontRef idx="minor"/>
                    </wps:style>
                    <wps:txbx>
                      <w:txbxContent>
                        <w:p>
                          <w:pPr>
                            <w:pStyle w:val="19"/>
                            <w:rPr>
                              <w:rFonts w:ascii="Calibri" w:hAnsi="Calibri" w:asciiTheme="minorAscii" w:hAnsiTheme="minorHAnsi"/>
                            </w:rPr>
                          </w:pPr>
                          <w:r>
                            <w:rPr>
                              <w:rFonts w:asciiTheme="minorAscii" w:hAnsiTheme="minorHAnsi" w:ascii="Calibri" w:hAnsi="Calibri"/>
                            </w:rPr>
                          </w:r>
                        </w:p>
                      </w:txbxContent>
                    </wps:txbx>
                    <wps:bodyPr lIns="0" rIns="0" tIns="0" bIns="0" anchor="t">
                      <a:spAutoFit/>
                    </wps:bodyPr>
                  </wps:wsp>
                </a:graphicData>
              </a:graphic>
            </wp:anchor>
          </w:drawing>
        </mc:Choice>
        <mc:Fallback>
          <w:pict>
            <v:rect id="shape_0" ID="Picture 1" path="m0,0l-2147483645,0l-2147483645,-2147483646l0,-2147483646xe" stroked="f" o:allowincell="f" style="position:absolute;margin-left:490.4pt;margin-top:0.05pt;width:5.65pt;height:12.05pt;mso-wrap-style:none;v-text-anchor:middle;mso-position-horizontal:right;mso-position-horizontal-relative:margin">
              <v:fill o:detectmouseclick="t" on="false"/>
              <v:stroke color="#3465a4" joinstyle="round" endcap="flat"/>
              <v:textbox>
                <w:txbxContent>
                  <w:p>
                    <w:pPr>
                      <w:pStyle w:val="19"/>
                      <w:rPr>
                        <w:rFonts w:ascii="Calibri" w:hAnsi="Calibri" w:asciiTheme="minorAscii" w:hAnsiTheme="minorHAnsi"/>
                      </w:rPr>
                    </w:pPr>
                    <w:r>
                      <w:rPr>
                        <w:rFonts w:asciiTheme="minorAscii" w:hAnsiTheme="minorHAnsi" w:ascii="Calibri" w:hAnsi="Calibri"/>
                      </w:rPr>
                    </w:r>
                  </w:p>
                </w:txbxContent>
              </v:textbox>
              <w10:wrap type="square" side="largest"/>
            </v:rect>
          </w:pict>
        </mc:Fallback>
      </mc:AlternateContent>
      <mc:AlternateContent>
        <mc:Choice Requires="wps">
          <w:drawing>
            <wp:anchor behindDoc="1" distT="0" distB="0" distL="0" distR="0" simplePos="0" locked="0" layoutInCell="0" allowOverlap="1" relativeHeight="24">
              <wp:simplePos x="0" y="0"/>
              <wp:positionH relativeFrom="margin">
                <wp:align>left</wp:align>
              </wp:positionH>
              <wp:positionV relativeFrom="paragraph">
                <wp:posOffset>635</wp:posOffset>
              </wp:positionV>
              <wp:extent cx="71755" cy="145415"/>
              <wp:effectExtent l="0" t="0" r="0" b="0"/>
              <wp:wrapSquare wrapText="largest"/>
              <wp:docPr id="4" name="Врезка2"/>
              <a:graphic xmlns:a="http://schemas.openxmlformats.org/drawingml/2006/main">
                <a:graphicData uri="http://schemas.microsoft.com/office/word/2010/wordprocessingShape">
                  <wps:wsp>
                    <wps:cNvSpPr/>
                    <wps:spPr>
                      <a:xfrm>
                        <a:off x="0" y="0"/>
                        <a:ext cx="71640" cy="145440"/>
                      </a:xfrm>
                      <a:prstGeom prst="rect">
                        <a:avLst/>
                      </a:prstGeom>
                      <a:noFill/>
                      <a:ln w="0">
                        <a:noFill/>
                      </a:ln>
                    </wps:spPr>
                    <wps:style>
                      <a:lnRef idx="0"/>
                      <a:fillRef idx="0"/>
                      <a:effectRef idx="0"/>
                      <a:fontRef idx="minor"/>
                    </wps:style>
                    <wps:txbx>
                      <w:txbxContent>
                        <w:p>
                          <w:pPr>
                            <w:pStyle w:val="Normal"/>
                            <w:rPr/>
                          </w:pPr>
                          <w:r>
                            <w:rPr>
                              <w:color w:val="000000"/>
                            </w:rPr>
                            <w:fldChar w:fldCharType="begin"/>
                          </w:r>
                          <w:r>
                            <w:rPr>
                              <w:color w:val="000000"/>
                            </w:rPr>
                            <w:instrText xml:space="preserve"> PAGE </w:instrText>
                          </w:r>
                          <w:r>
                            <w:rPr>
                              <w:color w:val="000000"/>
                            </w:rPr>
                            <w:fldChar w:fldCharType="separate"/>
                          </w:r>
                          <w:r>
                            <w:rPr>
                              <w:color w:val="000000"/>
                            </w:rPr>
                            <w:t>5</w:t>
                          </w:r>
                          <w:r>
                            <w:rPr>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0.05pt;margin-top:0.05pt;width:5.6pt;height:11.4pt;mso-wrap-style:square;v-text-anchor:top;mso-position-horizontal:left;mso-position-horizontal-relative:margin">
              <v:fill o:detectmouseclick="t" on="false"/>
              <v:stroke color="#3465a4" joinstyle="round" endcap="flat"/>
              <v:textbox>
                <w:txbxContent>
                  <w:p>
                    <w:pPr>
                      <w:pStyle w:val="Normal"/>
                      <w:rPr/>
                    </w:pPr>
                    <w:r>
                      <w:rPr>
                        <w:color w:val="000000"/>
                      </w:rPr>
                      <w:fldChar w:fldCharType="begin"/>
                    </w:r>
                    <w:r>
                      <w:rPr>
                        <w:color w:val="000000"/>
                      </w:rPr>
                      <w:instrText xml:space="preserve"> PAGE </w:instrText>
                    </w:r>
                    <w:r>
                      <w:rPr>
                        <w:color w:val="000000"/>
                      </w:rPr>
                      <w:fldChar w:fldCharType="separate"/>
                    </w:r>
                    <w:r>
                      <w:rPr>
                        <w:color w:val="000000"/>
                      </w:rPr>
                      <w:t>5</w:t>
                    </w:r>
                    <w:r>
                      <w:rPr>
                        <w:color w:val="000000"/>
                      </w:rPr>
                      <w:fldChar w:fldCharType="end"/>
                    </w:r>
                  </w:p>
                </w:txbxContent>
              </v:textbox>
              <w10:wrap type="square" side="largest"/>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hanging="0" w:left="0" w:right="360"/>
      <w:rPr/>
    </w:pPr>
    <w:r>
      <w:rPr/>
      <mc:AlternateContent>
        <mc:Choice Requires="wps">
          <w:drawing>
            <wp:anchor behindDoc="1" distT="0" distB="1270" distL="0" distR="0" simplePos="0" locked="0" layoutInCell="0" allowOverlap="1" relativeHeight="2">
              <wp:simplePos x="0" y="0"/>
              <wp:positionH relativeFrom="margin">
                <wp:align>right</wp:align>
              </wp:positionH>
              <wp:positionV relativeFrom="paragraph">
                <wp:posOffset>635</wp:posOffset>
              </wp:positionV>
              <wp:extent cx="72390" cy="153670"/>
              <wp:effectExtent l="0" t="0" r="0" b="0"/>
              <wp:wrapSquare wrapText="largest"/>
              <wp:docPr id="5" name="Picture 1"/>
              <a:graphic xmlns:a="http://schemas.openxmlformats.org/drawingml/2006/main">
                <a:graphicData uri="http://schemas.microsoft.com/office/word/2010/wordprocessingShape">
                  <wps:wsp>
                    <wps:cNvSpPr/>
                    <wps:spPr>
                      <a:xfrm>
                        <a:off x="0" y="0"/>
                        <a:ext cx="72360" cy="153720"/>
                      </a:xfrm>
                      <a:prstGeom prst="rect">
                        <a:avLst/>
                      </a:prstGeom>
                      <a:noFill/>
                      <a:ln w="0">
                        <a:noFill/>
                      </a:ln>
                    </wps:spPr>
                    <wps:style>
                      <a:lnRef idx="0"/>
                      <a:fillRef idx="0"/>
                      <a:effectRef idx="0"/>
                      <a:fontRef idx="minor"/>
                    </wps:style>
                    <wps:txbx>
                      <w:txbxContent>
                        <w:p>
                          <w:pPr>
                            <w:pStyle w:val="19"/>
                            <w:rPr>
                              <w:rFonts w:ascii="Calibri" w:hAnsi="Calibri" w:asciiTheme="minorAscii" w:hAnsiTheme="minorHAnsi"/>
                            </w:rPr>
                          </w:pPr>
                          <w:r>
                            <w:rPr>
                              <w:rFonts w:asciiTheme="minorAscii" w:hAnsiTheme="minorHAnsi" w:ascii="Calibri" w:hAnsi="Calibri"/>
                            </w:rPr>
                          </w:r>
                        </w:p>
                      </w:txbxContent>
                    </wps:txbx>
                    <wps:bodyPr lIns="0" rIns="0" tIns="0" bIns="0" anchor="t">
                      <a:spAutoFit/>
                    </wps:bodyPr>
                  </wps:wsp>
                </a:graphicData>
              </a:graphic>
            </wp:anchor>
          </w:drawing>
        </mc:Choice>
        <mc:Fallback>
          <w:pict>
            <v:rect id="shape_0" ID="Picture 1" path="m0,0l-2147483645,0l-2147483645,-2147483646l0,-2147483646xe" stroked="f" o:allowincell="f" style="position:absolute;margin-left:489.25pt;margin-top:0.05pt;width:5.65pt;height:12.05pt;mso-wrap-style:none;v-text-anchor:middle;mso-position-horizontal:right;mso-position-horizontal-relative:margin">
              <v:fill o:detectmouseclick="t" on="false"/>
              <v:stroke color="#3465a4" joinstyle="round" endcap="flat"/>
              <v:textbox>
                <w:txbxContent>
                  <w:p>
                    <w:pPr>
                      <w:pStyle w:val="19"/>
                      <w:rPr>
                        <w:rFonts w:ascii="Calibri" w:hAnsi="Calibri" w:asciiTheme="minorAscii" w:hAnsiTheme="minorHAnsi"/>
                      </w:rPr>
                    </w:pPr>
                    <w:r>
                      <w:rPr>
                        <w:rFonts w:asciiTheme="minorAscii" w:hAnsiTheme="minorHAnsi" w:ascii="Calibri" w:hAnsi="Calibri"/>
                      </w:rPr>
                    </w:r>
                  </w:p>
                </w:txbxContent>
              </v:textbox>
              <w10:wrap type="square" side="largest"/>
            </v:rect>
          </w:pict>
        </mc:Fallback>
      </mc:AlternateContent>
      <mc:AlternateContent>
        <mc:Choice Requires="wps">
          <w:drawing>
            <wp:anchor behindDoc="1" distT="0" distB="0" distL="0" distR="0" simplePos="0" locked="0" layoutInCell="0" allowOverlap="1" relativeHeight="14">
              <wp:simplePos x="0" y="0"/>
              <wp:positionH relativeFrom="margin">
                <wp:align>left</wp:align>
              </wp:positionH>
              <wp:positionV relativeFrom="paragraph">
                <wp:posOffset>635</wp:posOffset>
              </wp:positionV>
              <wp:extent cx="71755" cy="145415"/>
              <wp:effectExtent l="0" t="0" r="0" b="0"/>
              <wp:wrapSquare wrapText="largest"/>
              <wp:docPr id="6" name="Врезка2"/>
              <a:graphic xmlns:a="http://schemas.openxmlformats.org/drawingml/2006/main">
                <a:graphicData uri="http://schemas.microsoft.com/office/word/2010/wordprocessingShape">
                  <wps:wsp>
                    <wps:cNvSpPr/>
                    <wps:spPr>
                      <a:xfrm>
                        <a:off x="0" y="0"/>
                        <a:ext cx="71640" cy="145440"/>
                      </a:xfrm>
                      <a:prstGeom prst="rect">
                        <a:avLst/>
                      </a:prstGeom>
                      <a:noFill/>
                      <a:ln w="0">
                        <a:noFill/>
                      </a:ln>
                    </wps:spPr>
                    <wps:style>
                      <a:lnRef idx="0"/>
                      <a:fillRef idx="0"/>
                      <a:effectRef idx="0"/>
                      <a:fontRef idx="minor"/>
                    </wps:style>
                    <wps:txbx>
                      <w:txbxContent>
                        <w:p>
                          <w:pPr>
                            <w:pStyle w:val="Normal"/>
                            <w:rPr/>
                          </w:pPr>
                          <w:r>
                            <w:rPr>
                              <w:color w:val="000000"/>
                            </w:rPr>
                            <w:fldChar w:fldCharType="begin"/>
                          </w:r>
                          <w:r>
                            <w:rPr>
                              <w:color w:val="000000"/>
                            </w:rPr>
                            <w:instrText xml:space="preserve"> PAGE </w:instrText>
                          </w:r>
                          <w:r>
                            <w:rPr>
                              <w:color w:val="000000"/>
                            </w:rPr>
                            <w:fldChar w:fldCharType="separate"/>
                          </w:r>
                          <w:r>
                            <w:rPr>
                              <w:color w:val="000000"/>
                            </w:rPr>
                            <w:t>6</w:t>
                          </w:r>
                          <w:r>
                            <w:rPr>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0.05pt;margin-top:0.05pt;width:5.6pt;height:11.4pt;mso-wrap-style:square;v-text-anchor:top;mso-position-horizontal:left;mso-position-horizontal-relative:margin">
              <v:fill o:detectmouseclick="t" on="false"/>
              <v:stroke color="#3465a4" joinstyle="round" endcap="flat"/>
              <v:textbox>
                <w:txbxContent>
                  <w:p>
                    <w:pPr>
                      <w:pStyle w:val="Normal"/>
                      <w:rPr/>
                    </w:pPr>
                    <w:r>
                      <w:rPr>
                        <w:color w:val="000000"/>
                      </w:rPr>
                      <w:fldChar w:fldCharType="begin"/>
                    </w:r>
                    <w:r>
                      <w:rPr>
                        <w:color w:val="000000"/>
                      </w:rPr>
                      <w:instrText xml:space="preserve"> PAGE </w:instrText>
                    </w:r>
                    <w:r>
                      <w:rPr>
                        <w:color w:val="000000"/>
                      </w:rPr>
                      <w:fldChar w:fldCharType="separate"/>
                    </w:r>
                    <w:r>
                      <w:rPr>
                        <w:color w:val="000000"/>
                      </w:rPr>
                      <w:t>6</w:t>
                    </w:r>
                    <w:r>
                      <w:rPr>
                        <w:color w:val="000000"/>
                      </w:rPr>
                      <w:fldChar w:fldCharType="end"/>
                    </w:r>
                  </w:p>
                </w:txbxContent>
              </v:textbox>
              <w10:wrap type="square" side="largest"/>
            </v:rect>
          </w:pict>
        </mc:Fallback>
      </mc:AlternateContent>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720" w:hanging="0"/>
      </w:pPr>
      <w:rPr/>
    </w:lvl>
    <w:lvl w:ilvl="1">
      <w:start w:val="1"/>
      <w:numFmt w:val="none"/>
      <w:suff w:val="nothing"/>
      <w:lvlText w:val=""/>
      <w:lvlJc w:val="left"/>
      <w:pPr>
        <w:tabs>
          <w:tab w:val="num" w:pos="0"/>
        </w:tabs>
        <w:ind w:left="720" w:hanging="0"/>
      </w:pPr>
      <w:rPr/>
    </w:lvl>
    <w:lvl w:ilvl="2">
      <w:start w:val="1"/>
      <w:numFmt w:val="none"/>
      <w:suff w:val="nothing"/>
      <w:lvlText w:val=""/>
      <w:lvlJc w:val="left"/>
      <w:pPr>
        <w:tabs>
          <w:tab w:val="num" w:pos="0"/>
        </w:tabs>
        <w:ind w:left="720" w:hanging="0"/>
      </w:pPr>
      <w:rPr/>
    </w:lvl>
    <w:lvl w:ilvl="3">
      <w:start w:val="1"/>
      <w:numFmt w:val="none"/>
      <w:suff w:val="nothing"/>
      <w:lvlText w:val=""/>
      <w:lvlJc w:val="left"/>
      <w:pPr>
        <w:tabs>
          <w:tab w:val="num" w:pos="0"/>
        </w:tabs>
        <w:ind w:left="720" w:hanging="0"/>
      </w:pPr>
      <w:rPr/>
    </w:lvl>
    <w:lvl w:ilvl="4">
      <w:start w:val="1"/>
      <w:numFmt w:val="none"/>
      <w:suff w:val="nothing"/>
      <w:lvlText w:val=""/>
      <w:lvlJc w:val="left"/>
      <w:pPr>
        <w:tabs>
          <w:tab w:val="num" w:pos="0"/>
        </w:tabs>
        <w:ind w:left="720" w:hanging="0"/>
      </w:pPr>
      <w:rPr/>
    </w:lvl>
    <w:lvl w:ilvl="5">
      <w:start w:val="1"/>
      <w:numFmt w:val="none"/>
      <w:suff w:val="nothing"/>
      <w:lvlText w:val=""/>
      <w:lvlJc w:val="left"/>
      <w:pPr>
        <w:tabs>
          <w:tab w:val="num" w:pos="0"/>
        </w:tabs>
        <w:ind w:left="720" w:hanging="0"/>
      </w:pPr>
      <w:rPr/>
    </w:lvl>
    <w:lvl w:ilvl="6">
      <w:start w:val="1"/>
      <w:numFmt w:val="none"/>
      <w:suff w:val="nothing"/>
      <w:lvlText w:val=""/>
      <w:lvlJc w:val="left"/>
      <w:pPr>
        <w:tabs>
          <w:tab w:val="num" w:pos="0"/>
        </w:tabs>
        <w:ind w:left="720" w:hanging="0"/>
      </w:pPr>
      <w:rPr/>
    </w:lvl>
    <w:lvl w:ilvl="7">
      <w:start w:val="1"/>
      <w:numFmt w:val="none"/>
      <w:suff w:val="nothing"/>
      <w:lvlText w:val=""/>
      <w:lvlJc w:val="left"/>
      <w:pPr>
        <w:tabs>
          <w:tab w:val="num" w:pos="0"/>
        </w:tabs>
        <w:ind w:left="720" w:hanging="0"/>
      </w:pPr>
      <w:rPr/>
    </w:lvl>
    <w:lvl w:ilvl="8">
      <w:start w:val="1"/>
      <w:numFmt w:val="none"/>
      <w:suff w:val="nothing"/>
      <w:lvlText w:val=""/>
      <w:lvlJc w:val="left"/>
      <w:pPr>
        <w:tabs>
          <w:tab w:val="num" w:pos="0"/>
        </w:tabs>
        <w:ind w:left="72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Noto Sans Devanagari"/>
        <w:color w:val="000000"/>
        <w:lang w:val="ru-RU" w:eastAsia="zh-CN" w:bidi="hi-IN"/>
      </w:rPr>
    </w:rPrDefault>
    <w:pPrDefault>
      <w:pPr>
        <w:suppressAutoHyphens w:val="true"/>
      </w:pPr>
    </w:pPrDefault>
  </w:docDefaults>
  <w:latentStyles w:defLockedState="0" w:defUIPriority="99" w:defSemiHidden="1" w:defUnhideWhenUsed="1" w:defQFormat="0" w:count="26">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heading 10" w:uiPriority="9" w:semiHidden="1" w:unhideWhenUsed="1" w:qFormat="1"/>
    <w:lsdException w:name="Title" w:uiPriority="10" w:semiHidden="0" w:unhideWhenUsed="0" w:qFormat="1"/>
    <w:lsdException w:name="Subtitle" w:uiPriority="11" w:semiHidden="0" w:unhideWhenUsed="0" w:qFormat="1"/>
    <w:lsdException w:name="Header and Footer" w:semiHidden="0" w:unhideWhenUsed="0" w:qFormat="0"/>
    <w:lsdException w:name="Footnote" w:semiHidden="0" w:unhideWhenUsed="0" w:qFormat="0"/>
    <w:lsdException w:name="toc 1" w:uiPriority="39" w:semiHidden="0" w:unhideWhenUsed="0" w:qFormat="0"/>
    <w:lsdException w:name="toc 2" w:uiPriority="39" w:semiHidden="0" w:unhideWhenUsed="0" w:qFormat="0"/>
    <w:lsdException w:name="toc 3" w:uiPriority="39" w:semiHidden="0" w:unhideWhenUsed="0" w:qFormat="0"/>
    <w:lsdException w:name="toc 4" w:uiPriority="39" w:semiHidden="0" w:unhideWhenUsed="0" w:qFormat="0"/>
    <w:lsdException w:name="toc 5" w:uiPriority="39" w:semiHidden="0" w:unhideWhenUsed="0" w:qFormat="0"/>
    <w:lsdException w:name="toc 6" w:uiPriority="39" w:semiHidden="0" w:unhideWhenUsed="0" w:qFormat="0"/>
    <w:lsdException w:name="toc 7" w:uiPriority="39" w:semiHidden="0" w:unhideWhenUsed="0" w:qFormat="0"/>
    <w:lsdException w:name="toc 8" w:uiPriority="39" w:semiHidden="0" w:unhideWhenUsed="0" w:qFormat="0"/>
    <w:lsdException w:name="toc 9" w:uiPriority="39" w:semiHidden="0" w:unhideWhenUsed="0" w:qFormat="0"/>
    <w:lsdException w:name="toc 10" w:uiPriority="39" w:semiHidden="0" w:unhideWhenUsed="0" w:qFormat="0"/>
    <w:lsdException w:name="Hyperlink" w:semiHidden="0" w:unhideWhenUsed="0" w:qFormat="0"/>
  </w:latentStyles>
  <w:style w:type="paragraph" w:styleId="Normal" w:default="1">
    <w:name w:val="Normal"/>
    <w:uiPriority w:val="0"/>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0"/>
      <w:szCs w:val="20"/>
      <w:lang w:val="ru-RU" w:eastAsia="zh-CN" w:bidi="hi-IN"/>
    </w:rPr>
  </w:style>
  <w:style w:type="paragraph" w:styleId="Heading1">
    <w:name w:val="heading 1"/>
    <w:basedOn w:val="Normal"/>
    <w:next w:val="Normal"/>
    <w:uiPriority w:val="9"/>
    <w:qFormat/>
    <w:pPr>
      <w:keepNext w:val="true"/>
      <w:jc w:val="center"/>
      <w:outlineLvl w:val="0"/>
    </w:pPr>
    <w:rPr>
      <w:b/>
      <w:sz w:val="40"/>
    </w:rPr>
  </w:style>
  <w:style w:type="paragraph" w:styleId="Heading2">
    <w:name w:val="heading 2"/>
    <w:next w:val="Normal"/>
    <w:uiPriority w:val="9"/>
    <w:qFormat/>
    <w:pPr>
      <w:widowControl/>
      <w:suppressAutoHyphens w:val="true"/>
      <w:bidi w:val="0"/>
      <w:spacing w:lineRule="auto" w:line="240" w:before="120" w:after="120"/>
      <w:ind w:hanging="0" w:left="0" w:right="0"/>
      <w:jc w:val="left"/>
      <w:outlineLvl w:val="1"/>
    </w:pPr>
    <w:rPr>
      <w:rFonts w:ascii="XO Thames" w:hAnsi="XO Thames" w:eastAsia="Tahoma" w:cs="Noto Sans Devanagari"/>
      <w:b/>
      <w:color w:val="00A0FF"/>
      <w:spacing w:val="0"/>
      <w:kern w:val="0"/>
      <w:sz w:val="26"/>
      <w:szCs w:val="20"/>
      <w:lang w:val="ru-RU" w:eastAsia="zh-CN" w:bidi="hi-IN"/>
    </w:rPr>
  </w:style>
  <w:style w:type="paragraph" w:styleId="Heading3">
    <w:name w:val="heading 3"/>
    <w:next w:val="Normal"/>
    <w:uiPriority w:val="9"/>
    <w:qFormat/>
    <w:pPr>
      <w:widowControl/>
      <w:suppressAutoHyphens w:val="true"/>
      <w:bidi w:val="0"/>
      <w:spacing w:lineRule="auto" w:line="240" w:before="0" w:after="0"/>
      <w:ind w:hanging="0" w:left="0" w:right="0"/>
      <w:jc w:val="left"/>
      <w:outlineLvl w:val="2"/>
    </w:pPr>
    <w:rPr>
      <w:rFonts w:ascii="XO Thames" w:hAnsi="XO Thames" w:eastAsia="Tahoma" w:cs="Noto Sans Devanagari"/>
      <w:b/>
      <w:i/>
      <w:color w:val="000000"/>
      <w:spacing w:val="0"/>
      <w:kern w:val="0"/>
      <w:sz w:val="20"/>
      <w:szCs w:val="20"/>
      <w:lang w:val="ru-RU" w:eastAsia="zh-CN" w:bidi="hi-IN"/>
    </w:rPr>
  </w:style>
  <w:style w:type="paragraph" w:styleId="Heading4">
    <w:name w:val="heading 4"/>
    <w:next w:val="Normal"/>
    <w:uiPriority w:val="9"/>
    <w:qFormat/>
    <w:pPr>
      <w:widowControl/>
      <w:suppressAutoHyphens w:val="true"/>
      <w:bidi w:val="0"/>
      <w:spacing w:lineRule="auto" w:line="240" w:before="120" w:after="120"/>
      <w:ind w:hanging="0" w:left="0" w:right="0"/>
      <w:jc w:val="left"/>
      <w:outlineLvl w:val="3"/>
    </w:pPr>
    <w:rPr>
      <w:rFonts w:ascii="XO Thames" w:hAnsi="XO Thames" w:eastAsia="Tahoma" w:cs="Noto Sans Devanagari"/>
      <w:b/>
      <w:color w:val="595959"/>
      <w:spacing w:val="0"/>
      <w:kern w:val="0"/>
      <w:sz w:val="26"/>
      <w:szCs w:val="20"/>
      <w:lang w:val="ru-RU" w:eastAsia="zh-CN" w:bidi="hi-IN"/>
    </w:rPr>
  </w:style>
  <w:style w:type="paragraph" w:styleId="Heading5">
    <w:name w:val="heading 5"/>
    <w:next w:val="Normal"/>
    <w:uiPriority w:val="9"/>
    <w:qFormat/>
    <w:pPr>
      <w:widowControl/>
      <w:suppressAutoHyphens w:val="true"/>
      <w:bidi w:val="0"/>
      <w:spacing w:lineRule="auto" w:line="240" w:before="120" w:after="120"/>
      <w:ind w:hanging="0" w:left="0" w:right="0"/>
      <w:jc w:val="left"/>
      <w:outlineLvl w:val="4"/>
    </w:pPr>
    <w:rPr>
      <w:rFonts w:ascii="XO Thames" w:hAnsi="XO Thames" w:eastAsia="Tahoma" w:cs="Noto Sans Devanagari"/>
      <w:b/>
      <w:color w:val="000000"/>
      <w:spacing w:val="0"/>
      <w:kern w:val="0"/>
      <w:sz w:val="22"/>
      <w:szCs w:val="20"/>
      <w:lang w:val="ru-RU" w:eastAsia="zh-CN" w:bidi="hi-IN"/>
    </w:rPr>
  </w:style>
  <w:style w:type="character" w:styleId="3">
    <w:name w:val="Основной текст 3 Знак"/>
    <w:basedOn w:val="DefaultParagraphFont"/>
    <w:qFormat/>
    <w:rPr>
      <w:sz w:val="16"/>
    </w:rPr>
  </w:style>
  <w:style w:type="character" w:styleId="Contents2">
    <w:name w:val="Contents 2"/>
    <w:qFormat/>
    <w:rPr/>
  </w:style>
  <w:style w:type="character" w:styleId="WW8Num3z0">
    <w:name w:val="WW8Num3z0"/>
    <w:qFormat/>
    <w:rPr>
      <w:b/>
      <w:sz w:val="21"/>
    </w:rPr>
  </w:style>
  <w:style w:type="character" w:styleId="Contents4">
    <w:name w:val="Contents 4"/>
    <w:qFormat/>
    <w:rPr/>
  </w:style>
  <w:style w:type="character" w:styleId="Style9">
    <w:name w:val="Основной текст Знак"/>
    <w:basedOn w:val="DefaultParagraphFont"/>
    <w:qFormat/>
    <w:rPr>
      <w:sz w:val="28"/>
    </w:rPr>
  </w:style>
  <w:style w:type="character" w:styleId="Textbody">
    <w:name w:val="Text body"/>
    <w:qFormat/>
    <w:rPr>
      <w:sz w:val="28"/>
    </w:rPr>
  </w:style>
  <w:style w:type="character" w:styleId="2">
    <w:name w:val="Основной текст с отступом 2 Знак"/>
    <w:basedOn w:val="DefaultParagraphFont"/>
    <w:qFormat/>
    <w:rPr/>
  </w:style>
  <w:style w:type="character" w:styleId="Contents6">
    <w:name w:val="Contents 6"/>
    <w:qFormat/>
    <w:rPr/>
  </w:style>
  <w:style w:type="character" w:styleId="Contents7">
    <w:name w:val="Contents 7"/>
    <w:qFormat/>
    <w:rPr/>
  </w:style>
  <w:style w:type="character" w:styleId="1">
    <w:name w:val="Обычный1"/>
    <w:qFormat/>
    <w:rPr>
      <w:rFonts w:ascii="Times New Roman" w:hAnsi="Times New Roman"/>
      <w:color w:val="000000"/>
      <w:sz w:val="22"/>
    </w:rPr>
  </w:style>
  <w:style w:type="character" w:styleId="BodyText2">
    <w:name w:val="Body Text 2"/>
    <w:qFormat/>
    <w:rPr/>
  </w:style>
  <w:style w:type="character" w:styleId="Footer1">
    <w:name w:val="Footer1"/>
    <w:qFormat/>
    <w:rPr/>
  </w:style>
  <w:style w:type="character" w:styleId="PlainText">
    <w:name w:val="Plain Text"/>
    <w:qFormat/>
    <w:rPr>
      <w:rFonts w:ascii="Courier New" w:hAnsi="Courier New"/>
    </w:rPr>
  </w:style>
  <w:style w:type="character" w:styleId="Heading31">
    <w:name w:val="Heading 31"/>
    <w:qFormat/>
    <w:rPr>
      <w:rFonts w:ascii="XO Thames" w:hAnsi="XO Thames"/>
      <w:b/>
      <w:i/>
      <w:color w:val="000000"/>
    </w:rPr>
  </w:style>
  <w:style w:type="character" w:styleId="ListParagraph">
    <w:name w:val="List Paragraph"/>
    <w:qFormat/>
    <w:rPr/>
  </w:style>
  <w:style w:type="character" w:styleId="Style10">
    <w:name w:val="Основной текст с отступом Знак"/>
    <w:basedOn w:val="DefaultParagraphFont"/>
    <w:qFormat/>
    <w:rPr/>
  </w:style>
  <w:style w:type="character" w:styleId="21">
    <w:name w:val="Обычный2"/>
    <w:qFormat/>
    <w:rPr>
      <w:rFonts w:ascii="Times New Roman" w:hAnsi="Times New Roman"/>
      <w:color w:val="000000"/>
      <w:sz w:val="22"/>
    </w:rPr>
  </w:style>
  <w:style w:type="character" w:styleId="BalloonText">
    <w:name w:val="Balloon Text"/>
    <w:qFormat/>
    <w:rPr>
      <w:rFonts w:ascii="Tahoma" w:hAnsi="Tahoma"/>
      <w:sz w:val="16"/>
    </w:rPr>
  </w:style>
  <w:style w:type="character" w:styleId="11">
    <w:name w:val="Текст1"/>
    <w:qFormat/>
    <w:rPr>
      <w:rFonts w:ascii="Courier New" w:hAnsi="Courier New"/>
    </w:rPr>
  </w:style>
  <w:style w:type="character" w:styleId="List1">
    <w:name w:val="List1"/>
    <w:basedOn w:val="Textbody"/>
    <w:qFormat/>
    <w:rPr>
      <w:rFonts w:ascii="PT Sans" w:hAnsi="PT Sans"/>
    </w:rPr>
  </w:style>
  <w:style w:type="character" w:styleId="Style11">
    <w:name w:val="Верхний и нижний колонтитулы"/>
    <w:qFormat/>
    <w:rPr/>
  </w:style>
  <w:style w:type="character" w:styleId="Style12">
    <w:name w:val="Заголовок"/>
    <w:qFormat/>
    <w:rPr>
      <w:rFonts w:ascii="PT Sans" w:hAnsi="PT Sans"/>
      <w:sz w:val="28"/>
    </w:rPr>
  </w:style>
  <w:style w:type="character" w:styleId="PageNumber">
    <w:name w:val="page number"/>
    <w:basedOn w:val="DefaultParagraphFont"/>
    <w:qFormat/>
    <w:rPr/>
  </w:style>
  <w:style w:type="character" w:styleId="Contents3">
    <w:name w:val="Contents 3"/>
    <w:qFormat/>
    <w:rPr/>
  </w:style>
  <w:style w:type="character" w:styleId="DefaultParagraphFont">
    <w:name w:val="Default Paragraph Font"/>
    <w:qFormat/>
    <w:rPr/>
  </w:style>
  <w:style w:type="character" w:styleId="Style13">
    <w:name w:val="Указатель"/>
    <w:qFormat/>
    <w:rPr>
      <w:rFonts w:ascii="PT Sans" w:hAnsi="PT Sans"/>
    </w:rPr>
  </w:style>
  <w:style w:type="character" w:styleId="Style14">
    <w:name w:val="Основной шрифт"/>
    <w:qFormat/>
    <w:rPr/>
  </w:style>
  <w:style w:type="character" w:styleId="Heading51">
    <w:name w:val="Heading 51"/>
    <w:qFormat/>
    <w:rPr>
      <w:rFonts w:ascii="XO Thames" w:hAnsi="XO Thames"/>
      <w:b/>
      <w:color w:val="000000"/>
      <w:sz w:val="22"/>
    </w:rPr>
  </w:style>
  <w:style w:type="character" w:styleId="Heading11">
    <w:name w:val="Heading 11"/>
    <w:qFormat/>
    <w:rPr>
      <w:b/>
      <w:sz w:val="40"/>
    </w:rPr>
  </w:style>
  <w:style w:type="character" w:styleId="Caption1">
    <w:name w:val="Caption1"/>
    <w:qFormat/>
    <w:rPr>
      <w:rFonts w:ascii="PT Sans" w:hAnsi="PT Sans"/>
      <w:i/>
      <w:sz w:val="24"/>
    </w:rPr>
  </w:style>
  <w:style w:type="character" w:styleId="Style15">
    <w:name w:val="Колонтитул"/>
    <w:qFormat/>
    <w:rPr/>
  </w:style>
  <w:style w:type="character" w:styleId="Hyperlink">
    <w:name w:val="Hyperlink"/>
    <w:rPr>
      <w:color w:val="0000FF"/>
      <w:u w:val="single"/>
    </w:rPr>
  </w:style>
  <w:style w:type="character" w:styleId="Footnote">
    <w:name w:val="Footnote"/>
    <w:qFormat/>
    <w:rPr>
      <w:rFonts w:ascii="XO Thames" w:hAnsi="XO Thames"/>
      <w:sz w:val="22"/>
    </w:rPr>
  </w:style>
  <w:style w:type="character" w:styleId="31">
    <w:name w:val="Основной текст с отступом 31"/>
    <w:qFormat/>
    <w:rPr>
      <w:sz w:val="16"/>
    </w:rPr>
  </w:style>
  <w:style w:type="character" w:styleId="Contents1">
    <w:name w:val="Contents 1"/>
    <w:qFormat/>
    <w:rPr>
      <w:rFonts w:ascii="XO Thames" w:hAnsi="XO Thames"/>
      <w:b/>
    </w:rPr>
  </w:style>
  <w:style w:type="character" w:styleId="HeaderandFooter">
    <w:name w:val="Header and Footer"/>
    <w:qFormat/>
    <w:rPr>
      <w:rFonts w:ascii="XO Thames" w:hAnsi="XO Thames"/>
      <w:sz w:val="20"/>
    </w:rPr>
  </w:style>
  <w:style w:type="character" w:styleId="Style16">
    <w:name w:val="Содержимое врезки"/>
    <w:qFormat/>
    <w:rPr/>
  </w:style>
  <w:style w:type="character" w:styleId="Textbodyindent">
    <w:name w:val="Text body indent"/>
    <w:qFormat/>
    <w:rPr/>
  </w:style>
  <w:style w:type="character" w:styleId="Contents9">
    <w:name w:val="Contents 9"/>
    <w:qFormat/>
    <w:rPr/>
  </w:style>
  <w:style w:type="character" w:styleId="Contents8">
    <w:name w:val="Contents 8"/>
    <w:qFormat/>
    <w:rPr/>
  </w:style>
  <w:style w:type="character" w:styleId="BodyText3">
    <w:name w:val="Body Text 3"/>
    <w:qFormat/>
    <w:rPr>
      <w:sz w:val="16"/>
    </w:rPr>
  </w:style>
  <w:style w:type="character" w:styleId="Contents5">
    <w:name w:val="Contents 5"/>
    <w:qFormat/>
    <w:rPr/>
  </w:style>
  <w:style w:type="character" w:styleId="ConsNormal">
    <w:name w:val="ConsNormal"/>
    <w:qFormat/>
    <w:rPr>
      <w:rFonts w:ascii="Arial" w:hAnsi="Arial"/>
      <w:color w:val="000000"/>
      <w:sz w:val="24"/>
    </w:rPr>
  </w:style>
  <w:style w:type="character" w:styleId="BodyTextIndent2">
    <w:name w:val="Body Text Indent 2"/>
    <w:qFormat/>
    <w:rPr/>
  </w:style>
  <w:style w:type="character" w:styleId="Subtitle1">
    <w:name w:val="Subtitle1"/>
    <w:qFormat/>
    <w:rPr>
      <w:rFonts w:ascii="XO Thames" w:hAnsi="XO Thames"/>
      <w:i/>
      <w:color w:val="616161"/>
      <w:sz w:val="24"/>
    </w:rPr>
  </w:style>
  <w:style w:type="character" w:styleId="toc10">
    <w:name w:val="toc 10"/>
    <w:qFormat/>
    <w:rPr/>
  </w:style>
  <w:style w:type="character" w:styleId="Title1">
    <w:name w:val="Title1"/>
    <w:qFormat/>
    <w:rPr>
      <w:b/>
      <w:sz w:val="24"/>
    </w:rPr>
  </w:style>
  <w:style w:type="character" w:styleId="Heading41">
    <w:name w:val="Heading 41"/>
    <w:qFormat/>
    <w:rPr>
      <w:rFonts w:ascii="XO Thames" w:hAnsi="XO Thames"/>
      <w:b/>
      <w:color w:val="595959"/>
      <w:sz w:val="26"/>
    </w:rPr>
  </w:style>
  <w:style w:type="character" w:styleId="Heading21">
    <w:name w:val="Heading 21"/>
    <w:qFormat/>
    <w:rPr>
      <w:rFonts w:ascii="XO Thames" w:hAnsi="XO Thames"/>
      <w:b/>
      <w:color w:val="00A0FF"/>
      <w:sz w:val="26"/>
    </w:rPr>
  </w:style>
  <w:style w:type="character" w:styleId="BodyTextIndent3">
    <w:name w:val="Body Text Indent 3"/>
    <w:qFormat/>
    <w:rPr>
      <w:sz w:val="16"/>
    </w:rPr>
  </w:style>
  <w:style w:type="paragraph" w:styleId="12">
    <w:name w:val="Заголовок1"/>
    <w:basedOn w:val="Normal"/>
    <w:next w:val="BodyText"/>
    <w:qFormat/>
    <w:pPr>
      <w:keepNext w:val="true"/>
      <w:spacing w:before="240" w:after="120"/>
    </w:pPr>
    <w:rPr>
      <w:rFonts w:ascii="PT Sans" w:hAnsi="PT Sans"/>
      <w:sz w:val="28"/>
    </w:rPr>
  </w:style>
  <w:style w:type="paragraph" w:styleId="BodyText">
    <w:name w:val="Body Text"/>
    <w:basedOn w:val="Normal"/>
    <w:pPr>
      <w:jc w:val="both"/>
    </w:pPr>
    <w:rPr>
      <w:sz w:val="28"/>
    </w:rPr>
  </w:style>
  <w:style w:type="paragraph" w:styleId="List">
    <w:name w:val="List"/>
    <w:basedOn w:val="BodyText"/>
    <w:pPr/>
    <w:rPr>
      <w:rFonts w:ascii="PT Sans" w:hAnsi="PT Sans"/>
    </w:rPr>
  </w:style>
  <w:style w:type="paragraph" w:styleId="Caption">
    <w:name w:val="caption"/>
    <w:basedOn w:val="Normal"/>
    <w:qFormat/>
    <w:pPr>
      <w:spacing w:before="120" w:after="120"/>
    </w:pPr>
    <w:rPr>
      <w:rFonts w:ascii="PT Sans" w:hAnsi="PT Sans"/>
      <w:i/>
      <w:sz w:val="24"/>
    </w:rPr>
  </w:style>
  <w:style w:type="paragraph" w:styleId="13">
    <w:name w:val="Указатель1"/>
    <w:basedOn w:val="Normal"/>
    <w:qFormat/>
    <w:pPr/>
    <w:rPr>
      <w:rFonts w:ascii="PT Sans" w:hAnsi="PT Sans"/>
    </w:rPr>
  </w:style>
  <w:style w:type="paragraph" w:styleId="311">
    <w:name w:val="Основной текст 3 Знак1"/>
    <w:basedOn w:val="DefaultParagraphFont1"/>
    <w:qFormat/>
    <w:pPr/>
    <w:rPr>
      <w:sz w:val="16"/>
    </w:rPr>
  </w:style>
  <w:style w:type="paragraph" w:styleId="TOC2">
    <w:name w:val="toc 2"/>
    <w:next w:val="Normal"/>
    <w:uiPriority w:val="39"/>
    <w:pPr>
      <w:widowControl/>
      <w:suppressAutoHyphens w:val="true"/>
      <w:bidi w:val="0"/>
      <w:spacing w:lineRule="auto" w:line="240" w:before="0" w:after="0"/>
      <w:ind w:hanging="0" w:left="200" w:right="0"/>
      <w:jc w:val="left"/>
    </w:pPr>
    <w:rPr>
      <w:rFonts w:ascii="Times New Roman" w:hAnsi="Times New Roman" w:eastAsia="Tahoma" w:cs="Noto Sans Devanagari"/>
      <w:color w:val="000000"/>
      <w:spacing w:val="0"/>
      <w:kern w:val="0"/>
      <w:sz w:val="20"/>
      <w:szCs w:val="20"/>
      <w:lang w:val="ru-RU" w:eastAsia="zh-CN" w:bidi="hi-IN"/>
    </w:rPr>
  </w:style>
  <w:style w:type="paragraph" w:styleId="WW8Num3z01">
    <w:name w:val="WW8Num3z01"/>
    <w:qFormat/>
    <w:pPr>
      <w:widowControl/>
      <w:suppressAutoHyphens w:val="true"/>
      <w:bidi w:val="0"/>
      <w:spacing w:lineRule="auto" w:line="240" w:before="0" w:after="0"/>
      <w:ind w:hanging="0" w:left="0" w:right="0"/>
      <w:jc w:val="left"/>
    </w:pPr>
    <w:rPr>
      <w:rFonts w:ascii="Times New Roman" w:hAnsi="Times New Roman" w:eastAsia="Tahoma" w:cs="Noto Sans Devanagari"/>
      <w:b/>
      <w:color w:val="000000"/>
      <w:spacing w:val="0"/>
      <w:kern w:val="0"/>
      <w:sz w:val="21"/>
      <w:szCs w:val="20"/>
      <w:lang w:val="ru-RU" w:eastAsia="zh-CN" w:bidi="hi-IN"/>
    </w:rPr>
  </w:style>
  <w:style w:type="paragraph" w:styleId="TOC4">
    <w:name w:val="toc 4"/>
    <w:next w:val="Normal"/>
    <w:uiPriority w:val="39"/>
    <w:pPr>
      <w:widowControl/>
      <w:suppressAutoHyphens w:val="true"/>
      <w:bidi w:val="0"/>
      <w:spacing w:lineRule="auto" w:line="240" w:before="0" w:after="0"/>
      <w:ind w:hanging="0" w:left="600" w:right="0"/>
      <w:jc w:val="left"/>
    </w:pPr>
    <w:rPr>
      <w:rFonts w:ascii="Times New Roman" w:hAnsi="Times New Roman" w:eastAsia="Tahoma" w:cs="Noto Sans Devanagari"/>
      <w:color w:val="000000"/>
      <w:spacing w:val="0"/>
      <w:kern w:val="0"/>
      <w:sz w:val="20"/>
      <w:szCs w:val="20"/>
      <w:lang w:val="ru-RU" w:eastAsia="zh-CN" w:bidi="hi-IN"/>
    </w:rPr>
  </w:style>
  <w:style w:type="paragraph" w:styleId="14">
    <w:name w:val="Основной текст Знак1"/>
    <w:basedOn w:val="DefaultParagraphFont1"/>
    <w:qFormat/>
    <w:pPr/>
    <w:rPr>
      <w:sz w:val="28"/>
    </w:rPr>
  </w:style>
  <w:style w:type="paragraph" w:styleId="211">
    <w:name w:val="Основной текст с отступом 2 Знак1"/>
    <w:basedOn w:val="DefaultParagraphFont1"/>
    <w:qFormat/>
    <w:pPr/>
    <w:rPr/>
  </w:style>
  <w:style w:type="paragraph" w:styleId="TOC6">
    <w:name w:val="toc 6"/>
    <w:next w:val="Normal"/>
    <w:uiPriority w:val="39"/>
    <w:pPr>
      <w:widowControl/>
      <w:suppressAutoHyphens w:val="true"/>
      <w:bidi w:val="0"/>
      <w:spacing w:lineRule="auto" w:line="240" w:before="0" w:after="0"/>
      <w:ind w:hanging="0" w:left="1000" w:right="0"/>
      <w:jc w:val="left"/>
    </w:pPr>
    <w:rPr>
      <w:rFonts w:ascii="Times New Roman" w:hAnsi="Times New Roman" w:eastAsia="Tahoma" w:cs="Noto Sans Devanagari"/>
      <w:color w:val="000000"/>
      <w:spacing w:val="0"/>
      <w:kern w:val="0"/>
      <w:sz w:val="20"/>
      <w:szCs w:val="20"/>
      <w:lang w:val="ru-RU" w:eastAsia="zh-CN" w:bidi="hi-IN"/>
    </w:rPr>
  </w:style>
  <w:style w:type="paragraph" w:styleId="TOC7">
    <w:name w:val="toc 7"/>
    <w:next w:val="Normal"/>
    <w:uiPriority w:val="39"/>
    <w:pPr>
      <w:widowControl/>
      <w:suppressAutoHyphens w:val="true"/>
      <w:bidi w:val="0"/>
      <w:spacing w:lineRule="auto" w:line="240" w:before="0" w:after="0"/>
      <w:ind w:hanging="0" w:left="1200" w:right="0"/>
      <w:jc w:val="left"/>
    </w:pPr>
    <w:rPr>
      <w:rFonts w:ascii="Times New Roman" w:hAnsi="Times New Roman" w:eastAsia="Tahoma" w:cs="Noto Sans Devanagari"/>
      <w:color w:val="000000"/>
      <w:spacing w:val="0"/>
      <w:kern w:val="0"/>
      <w:sz w:val="20"/>
      <w:szCs w:val="20"/>
      <w:lang w:val="ru-RU" w:eastAsia="zh-CN" w:bidi="hi-IN"/>
    </w:rPr>
  </w:style>
  <w:style w:type="paragraph" w:styleId="111">
    <w:name w:val="Обычный11"/>
    <w:qFormat/>
    <w:pPr>
      <w:widowControl w:val="false"/>
      <w:suppressAutoHyphens w:val="true"/>
      <w:bidi w:val="0"/>
      <w:spacing w:lineRule="auto" w:line="264" w:before="0" w:after="0"/>
      <w:ind w:hanging="360" w:left="360" w:right="0"/>
      <w:jc w:val="left"/>
    </w:pPr>
    <w:rPr>
      <w:rFonts w:ascii="Times New Roman" w:hAnsi="Times New Roman" w:eastAsia="Tahoma" w:cs="Noto Sans Devanagari"/>
      <w:color w:val="000000"/>
      <w:spacing w:val="0"/>
      <w:kern w:val="0"/>
      <w:sz w:val="22"/>
      <w:szCs w:val="20"/>
      <w:lang w:val="ru-RU" w:eastAsia="zh-CN" w:bidi="hi-IN"/>
    </w:rPr>
  </w:style>
  <w:style w:type="paragraph" w:styleId="BodyText21">
    <w:name w:val="Body Text 21"/>
    <w:basedOn w:val="Normal"/>
    <w:qFormat/>
    <w:pPr>
      <w:spacing w:lineRule="auto" w:line="480" w:before="0" w:after="120"/>
    </w:pPr>
    <w:rPr/>
  </w:style>
  <w:style w:type="paragraph" w:styleId="15">
    <w:name w:val="Верхний и нижний колонтитулы1"/>
    <w:qFormat/>
    <w:pPr>
      <w:widowControl/>
      <w:suppressAutoHyphens w:val="true"/>
      <w:bidi w:val="0"/>
      <w:spacing w:lineRule="auto" w:line="360" w:before="0" w:after="0"/>
      <w:ind w:hanging="0" w:left="0" w:right="0"/>
      <w:jc w:val="left"/>
    </w:pPr>
    <w:rPr>
      <w:rFonts w:ascii="XO Thames" w:hAnsi="XO Thames" w:eastAsia="Tahoma" w:cs="Noto Sans Devanagari"/>
      <w:color w:val="000000"/>
      <w:spacing w:val="0"/>
      <w:kern w:val="0"/>
      <w:sz w:val="20"/>
      <w:szCs w:val="20"/>
      <w:lang w:val="ru-RU" w:eastAsia="zh-CN" w:bidi="hi-IN"/>
    </w:rPr>
  </w:style>
  <w:style w:type="paragraph" w:styleId="16">
    <w:name w:val="Колонтитул1"/>
    <w:basedOn w:val="Normal"/>
    <w:qFormat/>
    <w:pPr/>
    <w:rPr/>
  </w:style>
  <w:style w:type="paragraph" w:styleId="HeaderandFooter1">
    <w:name w:val="Header and Footer1"/>
    <w:basedOn w:val="Normal"/>
    <w:qFormat/>
    <w:pPr/>
    <w:rPr/>
  </w:style>
  <w:style w:type="paragraph" w:styleId="Footer">
    <w:name w:val="footer"/>
    <w:basedOn w:val="Normal"/>
    <w:pPr>
      <w:tabs>
        <w:tab w:val="clear" w:pos="720"/>
        <w:tab w:val="center" w:pos="4677" w:leader="none"/>
        <w:tab w:val="right" w:pos="9355" w:leader="none"/>
      </w:tabs>
    </w:pPr>
    <w:rPr/>
  </w:style>
  <w:style w:type="paragraph" w:styleId="PlainText1">
    <w:name w:val="Plain Text1"/>
    <w:basedOn w:val="Normal"/>
    <w:qFormat/>
    <w:pPr/>
    <w:rPr>
      <w:rFonts w:ascii="Courier New" w:hAnsi="Courier New"/>
    </w:rPr>
  </w:style>
  <w:style w:type="paragraph" w:styleId="ListParagraph1">
    <w:name w:val="List Paragraph1"/>
    <w:basedOn w:val="Normal"/>
    <w:qFormat/>
    <w:pPr>
      <w:spacing w:before="0" w:after="0"/>
      <w:ind w:hanging="0" w:left="720" w:right="0"/>
      <w:contextualSpacing/>
    </w:pPr>
    <w:rPr/>
  </w:style>
  <w:style w:type="paragraph" w:styleId="17">
    <w:name w:val="Основной текст с отступом Знак1"/>
    <w:basedOn w:val="DefaultParagraphFont1"/>
    <w:qFormat/>
    <w:pPr/>
    <w:rPr/>
  </w:style>
  <w:style w:type="paragraph" w:styleId="212">
    <w:name w:val="Обычный21"/>
    <w:qFormat/>
    <w:pPr>
      <w:widowControl w:val="false"/>
      <w:suppressAutoHyphens w:val="true"/>
      <w:bidi w:val="0"/>
      <w:spacing w:lineRule="auto" w:line="264" w:before="0" w:after="0"/>
      <w:ind w:hanging="360" w:left="360" w:right="0"/>
      <w:jc w:val="left"/>
    </w:pPr>
    <w:rPr>
      <w:rFonts w:ascii="Times New Roman" w:hAnsi="Times New Roman" w:eastAsia="Tahoma" w:cs="Noto Sans Devanagari"/>
      <w:color w:val="000000"/>
      <w:spacing w:val="0"/>
      <w:kern w:val="0"/>
      <w:sz w:val="22"/>
      <w:szCs w:val="20"/>
      <w:lang w:val="ru-RU" w:eastAsia="zh-CN" w:bidi="hi-IN"/>
    </w:rPr>
  </w:style>
  <w:style w:type="paragraph" w:styleId="BalloonText1">
    <w:name w:val="Balloon Text1"/>
    <w:basedOn w:val="Normal"/>
    <w:qFormat/>
    <w:pPr/>
    <w:rPr>
      <w:rFonts w:ascii="Tahoma" w:hAnsi="Tahoma"/>
      <w:sz w:val="16"/>
    </w:rPr>
  </w:style>
  <w:style w:type="paragraph" w:styleId="112">
    <w:name w:val="Текст11"/>
    <w:basedOn w:val="Normal"/>
    <w:qFormat/>
    <w:pPr/>
    <w:rPr>
      <w:rFonts w:ascii="Courier New" w:hAnsi="Courier New"/>
    </w:rPr>
  </w:style>
  <w:style w:type="paragraph" w:styleId="PageNumber1">
    <w:name w:val="Page Number1"/>
    <w:basedOn w:val="DefaultParagraphFont1"/>
    <w:qFormat/>
    <w:pPr/>
    <w:rPr/>
  </w:style>
  <w:style w:type="paragraph" w:styleId="TOC3">
    <w:name w:val="toc 3"/>
    <w:next w:val="Normal"/>
    <w:uiPriority w:val="39"/>
    <w:pPr>
      <w:widowControl/>
      <w:suppressAutoHyphens w:val="true"/>
      <w:bidi w:val="0"/>
      <w:spacing w:lineRule="auto" w:line="240" w:before="0" w:after="0"/>
      <w:ind w:hanging="0" w:left="400" w:right="0"/>
      <w:jc w:val="left"/>
    </w:pPr>
    <w:rPr>
      <w:rFonts w:ascii="Times New Roman" w:hAnsi="Times New Roman" w:eastAsia="Tahoma" w:cs="Noto Sans Devanagari"/>
      <w:color w:val="000000"/>
      <w:spacing w:val="0"/>
      <w:kern w:val="0"/>
      <w:sz w:val="20"/>
      <w:szCs w:val="20"/>
      <w:lang w:val="ru-RU" w:eastAsia="zh-CN" w:bidi="hi-IN"/>
    </w:rPr>
  </w:style>
  <w:style w:type="paragraph" w:styleId="DefaultParagraphFont1">
    <w:name w:val="Default Paragraph Font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0"/>
      <w:szCs w:val="20"/>
      <w:lang w:val="ru-RU" w:eastAsia="zh-CN" w:bidi="hi-IN"/>
    </w:rPr>
  </w:style>
  <w:style w:type="paragraph" w:styleId="18">
    <w:name w:val="Основной шрифт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0"/>
      <w:szCs w:val="20"/>
      <w:lang w:val="ru-RU" w:eastAsia="zh-CN" w:bidi="hi-IN"/>
    </w:rPr>
  </w:style>
  <w:style w:type="paragraph" w:styleId="Internetlink">
    <w:name w:val="Internet link"/>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FF"/>
      <w:spacing w:val="0"/>
      <w:kern w:val="0"/>
      <w:sz w:val="20"/>
      <w:szCs w:val="20"/>
      <w:u w:val="single"/>
      <w:lang w:val="ru-RU" w:eastAsia="zh-CN" w:bidi="hi-IN"/>
    </w:rPr>
  </w:style>
  <w:style w:type="paragraph" w:styleId="Footnote1">
    <w:name w:val="Footnote1"/>
    <w:qFormat/>
    <w:pPr>
      <w:widowControl/>
      <w:suppressAutoHyphens w:val="true"/>
      <w:bidi w:val="0"/>
      <w:spacing w:lineRule="auto" w:line="240" w:before="0" w:after="0"/>
      <w:ind w:hanging="0" w:left="0" w:right="0"/>
      <w:jc w:val="left"/>
    </w:pPr>
    <w:rPr>
      <w:rFonts w:ascii="XO Thames" w:hAnsi="XO Thames" w:eastAsia="Tahoma" w:cs="Noto Sans Devanagari"/>
      <w:color w:val="000000"/>
      <w:spacing w:val="0"/>
      <w:kern w:val="0"/>
      <w:sz w:val="22"/>
      <w:szCs w:val="20"/>
      <w:lang w:val="ru-RU" w:eastAsia="zh-CN" w:bidi="hi-IN"/>
    </w:rPr>
  </w:style>
  <w:style w:type="paragraph" w:styleId="3111">
    <w:name w:val="Основной текст с отступом 311"/>
    <w:basedOn w:val="Normal"/>
    <w:qFormat/>
    <w:pPr>
      <w:spacing w:before="0" w:after="120"/>
      <w:ind w:hanging="0" w:left="283" w:right="0"/>
    </w:pPr>
    <w:rPr>
      <w:sz w:val="16"/>
    </w:rPr>
  </w:style>
  <w:style w:type="paragraph" w:styleId="TOC1">
    <w:name w:val="toc 1"/>
    <w:next w:val="Normal"/>
    <w:uiPriority w:val="39"/>
    <w:pPr>
      <w:widowControl/>
      <w:suppressAutoHyphens w:val="true"/>
      <w:bidi w:val="0"/>
      <w:spacing w:lineRule="auto" w:line="240" w:before="0" w:after="0"/>
      <w:ind w:hanging="0" w:left="0" w:right="0"/>
      <w:jc w:val="left"/>
    </w:pPr>
    <w:rPr>
      <w:rFonts w:ascii="XO Thames" w:hAnsi="XO Thames" w:eastAsia="Tahoma" w:cs="Noto Sans Devanagari"/>
      <w:b/>
      <w:color w:val="000000"/>
      <w:spacing w:val="0"/>
      <w:kern w:val="0"/>
      <w:sz w:val="20"/>
      <w:szCs w:val="20"/>
      <w:lang w:val="ru-RU" w:eastAsia="zh-CN" w:bidi="hi-IN"/>
    </w:rPr>
  </w:style>
  <w:style w:type="paragraph" w:styleId="19">
    <w:name w:val="Содержимое врезки1"/>
    <w:basedOn w:val="Normal"/>
    <w:qFormat/>
    <w:pPr/>
    <w:rPr/>
  </w:style>
  <w:style w:type="paragraph" w:styleId="BodyTextIndent">
    <w:name w:val="Body Text Indent"/>
    <w:basedOn w:val="Normal"/>
    <w:pPr>
      <w:spacing w:before="0" w:after="120"/>
      <w:ind w:hanging="0" w:left="283" w:right="0"/>
    </w:pPr>
    <w:rPr/>
  </w:style>
  <w:style w:type="paragraph" w:styleId="TOC9">
    <w:name w:val="toc 9"/>
    <w:next w:val="Normal"/>
    <w:uiPriority w:val="39"/>
    <w:pPr>
      <w:widowControl/>
      <w:suppressAutoHyphens w:val="true"/>
      <w:bidi w:val="0"/>
      <w:spacing w:lineRule="auto" w:line="240" w:before="0" w:after="0"/>
      <w:ind w:hanging="0" w:left="1600" w:right="0"/>
      <w:jc w:val="left"/>
    </w:pPr>
    <w:rPr>
      <w:rFonts w:ascii="Times New Roman" w:hAnsi="Times New Roman" w:eastAsia="Tahoma" w:cs="Noto Sans Devanagari"/>
      <w:color w:val="000000"/>
      <w:spacing w:val="0"/>
      <w:kern w:val="0"/>
      <w:sz w:val="20"/>
      <w:szCs w:val="20"/>
      <w:lang w:val="ru-RU" w:eastAsia="zh-CN" w:bidi="hi-IN"/>
    </w:rPr>
  </w:style>
  <w:style w:type="paragraph" w:styleId="TOC8">
    <w:name w:val="toc 8"/>
    <w:next w:val="Normal"/>
    <w:uiPriority w:val="39"/>
    <w:pPr>
      <w:widowControl/>
      <w:suppressAutoHyphens w:val="true"/>
      <w:bidi w:val="0"/>
      <w:spacing w:lineRule="auto" w:line="240" w:before="0" w:after="0"/>
      <w:ind w:hanging="0" w:left="1400" w:right="0"/>
      <w:jc w:val="left"/>
    </w:pPr>
    <w:rPr>
      <w:rFonts w:ascii="Times New Roman" w:hAnsi="Times New Roman" w:eastAsia="Tahoma" w:cs="Noto Sans Devanagari"/>
      <w:color w:val="000000"/>
      <w:spacing w:val="0"/>
      <w:kern w:val="0"/>
      <w:sz w:val="20"/>
      <w:szCs w:val="20"/>
      <w:lang w:val="ru-RU" w:eastAsia="zh-CN" w:bidi="hi-IN"/>
    </w:rPr>
  </w:style>
  <w:style w:type="paragraph" w:styleId="BodyText31">
    <w:name w:val="Body Text 31"/>
    <w:basedOn w:val="Normal"/>
    <w:qFormat/>
    <w:pPr>
      <w:spacing w:before="0" w:after="120"/>
    </w:pPr>
    <w:rPr>
      <w:sz w:val="16"/>
    </w:rPr>
  </w:style>
  <w:style w:type="paragraph" w:styleId="TOC5">
    <w:name w:val="toc 5"/>
    <w:next w:val="Normal"/>
    <w:uiPriority w:val="39"/>
    <w:pPr>
      <w:widowControl/>
      <w:suppressAutoHyphens w:val="true"/>
      <w:bidi w:val="0"/>
      <w:spacing w:lineRule="auto" w:line="240" w:before="0" w:after="0"/>
      <w:ind w:hanging="0" w:left="800" w:right="0"/>
      <w:jc w:val="left"/>
    </w:pPr>
    <w:rPr>
      <w:rFonts w:ascii="Times New Roman" w:hAnsi="Times New Roman" w:eastAsia="Tahoma" w:cs="Noto Sans Devanagari"/>
      <w:color w:val="000000"/>
      <w:spacing w:val="0"/>
      <w:kern w:val="0"/>
      <w:sz w:val="20"/>
      <w:szCs w:val="20"/>
      <w:lang w:val="ru-RU" w:eastAsia="zh-CN" w:bidi="hi-IN"/>
    </w:rPr>
  </w:style>
  <w:style w:type="paragraph" w:styleId="ConsNormal1">
    <w:name w:val="ConsNormal1"/>
    <w:qFormat/>
    <w:pPr>
      <w:widowControl w:val="false"/>
      <w:suppressAutoHyphens w:val="true"/>
      <w:bidi w:val="0"/>
      <w:spacing w:lineRule="auto" w:line="240" w:before="0" w:after="0"/>
      <w:ind w:firstLine="720" w:left="0" w:right="19772"/>
      <w:jc w:val="left"/>
    </w:pPr>
    <w:rPr>
      <w:rFonts w:ascii="Arial" w:hAnsi="Arial" w:eastAsia="Tahoma" w:cs="Noto Sans Devanagari"/>
      <w:color w:val="000000"/>
      <w:spacing w:val="0"/>
      <w:kern w:val="0"/>
      <w:sz w:val="24"/>
      <w:szCs w:val="20"/>
      <w:lang w:val="ru-RU" w:eastAsia="zh-CN" w:bidi="hi-IN"/>
    </w:rPr>
  </w:style>
  <w:style w:type="paragraph" w:styleId="BodyTextIndent21">
    <w:name w:val="Body Text Indent 21"/>
    <w:basedOn w:val="Normal"/>
    <w:qFormat/>
    <w:pPr>
      <w:spacing w:lineRule="auto" w:line="480" w:before="0" w:after="120"/>
      <w:ind w:hanging="0" w:left="283" w:right="0"/>
    </w:pPr>
    <w:rPr/>
  </w:style>
  <w:style w:type="paragraph" w:styleId="Subtitle">
    <w:name w:val="Subtitle"/>
    <w:next w:val="Normal"/>
    <w:uiPriority w:val="11"/>
    <w:qFormat/>
    <w:pPr>
      <w:widowControl/>
      <w:suppressAutoHyphens w:val="true"/>
      <w:bidi w:val="0"/>
      <w:spacing w:lineRule="auto" w:line="240" w:before="0" w:after="0"/>
      <w:ind w:hanging="0" w:left="0" w:right="0"/>
      <w:jc w:val="left"/>
    </w:pPr>
    <w:rPr>
      <w:rFonts w:ascii="XO Thames" w:hAnsi="XO Thames" w:eastAsia="Tahoma" w:cs="Noto Sans Devanagari"/>
      <w:i/>
      <w:color w:val="616161"/>
      <w:spacing w:val="0"/>
      <w:kern w:val="0"/>
      <w:sz w:val="24"/>
      <w:szCs w:val="20"/>
      <w:lang w:val="ru-RU" w:eastAsia="zh-CN" w:bidi="hi-IN"/>
    </w:rPr>
  </w:style>
  <w:style w:type="paragraph" w:styleId="toc101">
    <w:name w:val="toc 101"/>
    <w:next w:val="Normal"/>
    <w:uiPriority w:val="39"/>
    <w:qFormat/>
    <w:pPr>
      <w:widowControl/>
      <w:suppressAutoHyphens w:val="true"/>
      <w:bidi w:val="0"/>
      <w:spacing w:lineRule="auto" w:line="240" w:before="0" w:after="0"/>
      <w:ind w:hanging="0" w:left="1800" w:right="0"/>
      <w:jc w:val="left"/>
    </w:pPr>
    <w:rPr>
      <w:rFonts w:ascii="Times New Roman" w:hAnsi="Times New Roman" w:eastAsia="Tahoma" w:cs="Noto Sans Devanagari"/>
      <w:color w:val="000000"/>
      <w:spacing w:val="0"/>
      <w:kern w:val="0"/>
      <w:sz w:val="20"/>
      <w:szCs w:val="20"/>
      <w:lang w:val="ru-RU" w:eastAsia="zh-CN" w:bidi="hi-IN"/>
    </w:rPr>
  </w:style>
  <w:style w:type="paragraph" w:styleId="Title">
    <w:name w:val="Title"/>
    <w:basedOn w:val="Normal"/>
    <w:uiPriority w:val="10"/>
    <w:qFormat/>
    <w:pPr>
      <w:jc w:val="center"/>
    </w:pPr>
    <w:rPr>
      <w:b/>
      <w:sz w:val="24"/>
    </w:rPr>
  </w:style>
  <w:style w:type="paragraph" w:styleId="BodyTextIndent31">
    <w:name w:val="Body Text Indent 31"/>
    <w:basedOn w:val="Normal"/>
    <w:qFormat/>
    <w:pPr>
      <w:spacing w:before="0" w:after="120"/>
      <w:ind w:hanging="0" w:left="283" w:right="0"/>
    </w:pPr>
    <w:rPr>
      <w:sz w:val="16"/>
    </w:rPr>
  </w:style>
  <w:style w:type="paragraph" w:styleId="Style17">
    <w:name w:val="Содержимое таблицы"/>
    <w:basedOn w:val="Normal"/>
    <w:qFormat/>
    <w:pPr>
      <w:suppressLineNumbers/>
    </w:pPr>
    <w:rPr/>
  </w:style>
  <w:style w:type="paragraph" w:styleId="Style18">
    <w:name w:val="Заголовок таблицы"/>
    <w:basedOn w:val="Style17"/>
    <w:qFormat/>
    <w:pPr>
      <w:suppressLineNumbers/>
      <w:jc w:val="center"/>
    </w:pPr>
    <w:rPr>
      <w:b/>
      <w:bCs/>
    </w:rPr>
  </w:style>
  <w:style w:type="table" w:default="1" w:styleId="Style_11">
    <w:name w:val="Normal Table"/>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tileRect l="0" t="0" r="0" b="0"/>
        </a:gradFill>
        <a:gradFill>
          <a:gsLst>
            <a:gs pos="0">
              <a:schemeClr val="phClr">
                <a:shade val="51000"/>
              </a:schemeClr>
            </a:gs>
            <a:gs pos="80000">
              <a:schemeClr val="phClr">
                <a:shade val="93000"/>
              </a:schemeClr>
            </a:gs>
            <a:gs pos="100000">
              <a:schemeClr val="phClr">
                <a:shade val="94000"/>
              </a:schemeClr>
            </a:gs>
          </a:gsLst>
          <a:tileRect l="0" t="0" r="0" b="0"/>
        </a:gradFill>
      </a:fillStyleLst>
      <a:lnStyleLst>
        <a:ln w="9525">
          <a:prstDash val="solid"/>
        </a:ln>
        <a:ln w="25400">
          <a:prstDash val="solid"/>
        </a:ln>
        <a:ln w="38100">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tileRect l="0" t="0" r="0" b="0"/>
        </a:gradFill>
        <a:gradFill>
          <a:gsLst>
            <a:gs pos="0">
              <a:schemeClr val="phClr">
                <a:tint val="80000"/>
              </a:schemeClr>
            </a:gs>
            <a:gs pos="100000">
              <a:schemeClr val="phClr">
                <a:shade val="30000"/>
              </a:schemeClr>
            </a:gs>
          </a:gsLst>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126</TotalTime>
  <Application>LibreOffice/24.8.4.2$Linux_X86_64 LibreOffice_project/480$Build-2</Application>
  <AppVersion>15.0000</AppVersion>
  <DocSecurity>0</DocSecurity>
  <Pages>6</Pages>
  <Words>3039</Words>
  <Characters>21117</Characters>
  <CharactersWithSpaces>24644</CharactersWithSpaces>
  <Paragraphs>134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cp:lastPrinted>2024-06-10T08:18:38Z</cp:lastPrinted>
  <dcterms:modified xsi:type="dcterms:W3CDTF">2025-07-07T16:13:28Z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caleCrop">
    <vt:bool>0</vt:bool>
  </property>
</Properties>
</file>